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4B1A3" w14:textId="77777777" w:rsidR="005A0A5A" w:rsidRPr="00D7326B" w:rsidRDefault="005A0A5A" w:rsidP="005A0A5A">
      <w:pPr>
        <w:spacing w:after="0" w:line="240" w:lineRule="atLeast"/>
        <w:jc w:val="center"/>
        <w:rPr>
          <w:rFonts w:ascii="Cambria" w:eastAsia="MS Mincho" w:hAnsi="Cambria" w:cs="Times New Roman"/>
          <w:b/>
          <w:sz w:val="25"/>
          <w:szCs w:val="25"/>
          <w:lang w:val="es-DO"/>
        </w:rPr>
      </w:pPr>
      <w:r w:rsidRPr="00D7326B">
        <w:rPr>
          <w:rFonts w:ascii="Cambria" w:eastAsia="MS Mincho" w:hAnsi="Cambria" w:cs="Times New Roman"/>
          <w:b/>
          <w:sz w:val="25"/>
          <w:szCs w:val="25"/>
          <w:lang w:val="es-DO"/>
        </w:rPr>
        <w:t>NOTA DE PRENSA</w:t>
      </w:r>
    </w:p>
    <w:p w14:paraId="224F78C8" w14:textId="77777777" w:rsidR="005A0A5A" w:rsidRPr="00D7326B" w:rsidRDefault="005A0A5A" w:rsidP="005A0A5A">
      <w:pPr>
        <w:spacing w:after="0" w:line="240" w:lineRule="atLeast"/>
        <w:jc w:val="center"/>
        <w:rPr>
          <w:rFonts w:ascii="Cambria" w:eastAsia="MS Mincho" w:hAnsi="Cambria" w:cs="Times New Roman"/>
          <w:b/>
          <w:sz w:val="25"/>
          <w:szCs w:val="25"/>
          <w:lang w:val="es-DO"/>
        </w:rPr>
      </w:pPr>
    </w:p>
    <w:p w14:paraId="5DD95DD5" w14:textId="77777777" w:rsidR="005A0A5A" w:rsidRPr="00D7326B" w:rsidRDefault="005A0A5A" w:rsidP="005A0A5A">
      <w:pPr>
        <w:spacing w:after="0" w:line="240" w:lineRule="atLeast"/>
        <w:jc w:val="center"/>
        <w:rPr>
          <w:rFonts w:ascii="Cambria" w:eastAsia="MS Mincho" w:hAnsi="Cambria" w:cs="Times New Roman"/>
          <w:b/>
          <w:sz w:val="25"/>
          <w:szCs w:val="25"/>
          <w:lang w:val="es-DO"/>
        </w:rPr>
      </w:pPr>
      <w:r w:rsidRPr="00D7326B">
        <w:rPr>
          <w:rFonts w:ascii="Cambria" w:eastAsia="MS Mincho" w:hAnsi="Cambria" w:cs="Times New Roman"/>
          <w:b/>
          <w:sz w:val="25"/>
          <w:szCs w:val="25"/>
          <w:lang w:val="es-DO"/>
        </w:rPr>
        <w:t>CARD advierte sobre prolongación excesiva de procesos penales en violación a la ley y reclama respeto al debido proceso y al derecho de defensa</w:t>
      </w:r>
    </w:p>
    <w:p w14:paraId="76F191A9" w14:textId="77777777" w:rsidR="005A0A5A" w:rsidRPr="00D7326B" w:rsidRDefault="005A0A5A" w:rsidP="005A0A5A">
      <w:pPr>
        <w:spacing w:after="0" w:line="240" w:lineRule="atLeast"/>
        <w:jc w:val="both"/>
        <w:rPr>
          <w:rFonts w:ascii="Cambria" w:eastAsia="MS Mincho" w:hAnsi="Cambria" w:cs="Times New Roman"/>
          <w:sz w:val="25"/>
          <w:szCs w:val="25"/>
          <w:lang w:val="es-DO"/>
        </w:rPr>
      </w:pPr>
    </w:p>
    <w:p w14:paraId="2C6E0611" w14:textId="77777777" w:rsidR="005A0A5A" w:rsidRPr="00D7326B" w:rsidRDefault="005A0A5A" w:rsidP="005A0A5A">
      <w:pPr>
        <w:spacing w:after="0" w:line="240" w:lineRule="atLeast"/>
        <w:jc w:val="both"/>
        <w:rPr>
          <w:rFonts w:ascii="Cambria" w:eastAsia="MS Mincho" w:hAnsi="Cambria" w:cs="Times New Roman"/>
          <w:i/>
          <w:sz w:val="25"/>
          <w:szCs w:val="25"/>
          <w:lang w:val="es-DO"/>
        </w:rPr>
      </w:pPr>
      <w:r w:rsidRPr="00D7326B">
        <w:rPr>
          <w:rFonts w:ascii="Cambria" w:eastAsia="MS Mincho" w:hAnsi="Cambria" w:cs="Times New Roman"/>
          <w:i/>
          <w:sz w:val="25"/>
          <w:szCs w:val="25"/>
          <w:lang w:val="es-DO"/>
        </w:rPr>
        <w:t>Trajano Potentini expresa preocupación por expedientes que superan ampliamente la duración máxima prevista para el proceso penal y sostiene que el ejercicio legítimo de recursos por parte de los abogados no puede ser calificado automáticamente como táctica dilatoria</w:t>
      </w:r>
    </w:p>
    <w:p w14:paraId="0852FEB1" w14:textId="77777777" w:rsidR="00C34CC0" w:rsidRPr="00D7326B" w:rsidRDefault="00C34CC0" w:rsidP="005A0A5A">
      <w:pPr>
        <w:spacing w:after="0" w:line="240" w:lineRule="atLeast"/>
        <w:jc w:val="both"/>
        <w:rPr>
          <w:rFonts w:ascii="Cambria" w:eastAsia="Times New Roman" w:hAnsi="Cambria" w:cs="Calibri"/>
          <w:b/>
          <w:bCs/>
          <w:sz w:val="25"/>
          <w:szCs w:val="25"/>
          <w:lang w:val="es-MX" w:eastAsia="es-DO"/>
        </w:rPr>
      </w:pPr>
    </w:p>
    <w:p w14:paraId="4FDF2C05" w14:textId="28CAD4D0" w:rsidR="005A0A5A" w:rsidRPr="00D7326B" w:rsidRDefault="005A0A5A" w:rsidP="005A0A5A">
      <w:pPr>
        <w:spacing w:after="0" w:line="240" w:lineRule="atLeast"/>
        <w:jc w:val="both"/>
        <w:rPr>
          <w:rFonts w:ascii="Cambria" w:eastAsia="MS Mincho" w:hAnsi="Cambria" w:cs="Times New Roman"/>
          <w:sz w:val="25"/>
          <w:szCs w:val="25"/>
          <w:lang w:val="es-DO"/>
        </w:rPr>
      </w:pPr>
      <w:r w:rsidRPr="00D7326B">
        <w:rPr>
          <w:rFonts w:ascii="Cambria" w:eastAsia="Times New Roman" w:hAnsi="Cambria" w:cs="Calibri"/>
          <w:b/>
          <w:bCs/>
          <w:sz w:val="25"/>
          <w:szCs w:val="25"/>
          <w:lang w:val="es-MX" w:eastAsia="es-DO"/>
        </w:rPr>
        <w:t>Santo Domingo, República Dominicana,</w:t>
      </w:r>
      <w:r w:rsidR="0013700C" w:rsidRPr="00D7326B">
        <w:rPr>
          <w:rFonts w:ascii="Cambria" w:eastAsia="Times New Roman" w:hAnsi="Cambria" w:cs="Calibri"/>
          <w:b/>
          <w:bCs/>
          <w:sz w:val="25"/>
          <w:szCs w:val="25"/>
          <w:lang w:val="es-MX" w:eastAsia="es-DO"/>
        </w:rPr>
        <w:t xml:space="preserve"> </w:t>
      </w:r>
      <w:r w:rsidRPr="00D7326B">
        <w:rPr>
          <w:rFonts w:ascii="Cambria" w:eastAsia="Times New Roman" w:hAnsi="Cambria" w:cs="Calibri"/>
          <w:b/>
          <w:bCs/>
          <w:sz w:val="25"/>
          <w:szCs w:val="25"/>
          <w:lang w:val="es-DO" w:eastAsia="es-DO"/>
        </w:rPr>
        <w:t>11 de agosto de 2026.–</w:t>
      </w:r>
      <w:r w:rsidRPr="00D7326B">
        <w:rPr>
          <w:rFonts w:ascii="Cambria" w:eastAsia="MS Mincho" w:hAnsi="Cambria" w:cs="Times New Roman"/>
          <w:sz w:val="25"/>
          <w:szCs w:val="25"/>
          <w:lang w:val="es-DO"/>
        </w:rPr>
        <w:t>El Colegio de Abogados de la República Dominicana expresó su profunda preocupación ante lo que considera una creciente inobservancia de las garantías vinculadas al debido proceso de ley, particularmente en lo relativo a la duración razonable de los procesos penales y a la aplicación de los criterios que regulan la extinción de la acción penal por vencimiento del plazo máximo establecido para la tramitación de los casos.</w:t>
      </w:r>
    </w:p>
    <w:p w14:paraId="3FA8A564" w14:textId="77777777" w:rsidR="005A0A5A" w:rsidRPr="00D7326B" w:rsidRDefault="005A0A5A" w:rsidP="005A0A5A">
      <w:pPr>
        <w:spacing w:after="0" w:line="240" w:lineRule="atLeast"/>
        <w:jc w:val="both"/>
        <w:rPr>
          <w:rFonts w:ascii="Cambria" w:eastAsia="MS Mincho" w:hAnsi="Cambria" w:cs="Times New Roman"/>
          <w:sz w:val="25"/>
          <w:szCs w:val="25"/>
          <w:lang w:val="es-DO"/>
        </w:rPr>
      </w:pPr>
    </w:p>
    <w:p w14:paraId="2DC9F2D2" w14:textId="6FD0187D" w:rsidR="005A0A5A" w:rsidRPr="00D7326B" w:rsidRDefault="005A0A5A" w:rsidP="005A0A5A">
      <w:pPr>
        <w:spacing w:after="0" w:line="240" w:lineRule="atLeast"/>
        <w:jc w:val="both"/>
        <w:rPr>
          <w:rFonts w:ascii="Cambria" w:eastAsia="MS Mincho" w:hAnsi="Cambria" w:cs="Times New Roman"/>
          <w:sz w:val="25"/>
          <w:szCs w:val="25"/>
          <w:lang w:val="es-DO"/>
        </w:rPr>
      </w:pPr>
      <w:r w:rsidRPr="00D7326B">
        <w:rPr>
          <w:rFonts w:ascii="Cambria" w:eastAsia="MS Mincho" w:hAnsi="Cambria" w:cs="Times New Roman"/>
          <w:sz w:val="25"/>
          <w:szCs w:val="25"/>
          <w:lang w:val="es-DO"/>
        </w:rPr>
        <w:t xml:space="preserve">Trajano Potentini </w:t>
      </w:r>
      <w:r w:rsidR="0000147A" w:rsidRPr="00D7326B">
        <w:rPr>
          <w:rFonts w:ascii="Cambria" w:eastAsia="MS Mincho" w:hAnsi="Cambria" w:cs="Times New Roman"/>
          <w:sz w:val="25"/>
          <w:szCs w:val="25"/>
          <w:lang w:val="es-DO"/>
        </w:rPr>
        <w:t xml:space="preserve">al ser entrevistado en el programa </w:t>
      </w:r>
      <w:r w:rsidR="0000147A" w:rsidRPr="00D7326B">
        <w:rPr>
          <w:rFonts w:ascii="Cambria" w:hAnsi="Cambria"/>
          <w:spacing w:val="-2"/>
          <w:sz w:val="25"/>
          <w:szCs w:val="25"/>
          <w:shd w:val="clear" w:color="auto" w:fill="FFFFFF"/>
          <w:lang w:val="es-DO"/>
        </w:rPr>
        <w:t xml:space="preserve">Despierta RD que se transmite de lunes a viernes entre 6:00 y 8:00 de la mañana por Telecentro canal 13, de Grupo Telemicro, por los periodistas Gilbert Guzmán, </w:t>
      </w:r>
      <w:proofErr w:type="spellStart"/>
      <w:r w:rsidR="0000147A" w:rsidRPr="00D7326B">
        <w:rPr>
          <w:rFonts w:ascii="Cambria" w:hAnsi="Cambria"/>
          <w:spacing w:val="-2"/>
          <w:sz w:val="25"/>
          <w:szCs w:val="25"/>
          <w:shd w:val="clear" w:color="auto" w:fill="FFFFFF"/>
          <w:lang w:val="es-DO"/>
        </w:rPr>
        <w:t>Yudelki</w:t>
      </w:r>
      <w:proofErr w:type="spellEnd"/>
      <w:r w:rsidR="0000147A" w:rsidRPr="00D7326B">
        <w:rPr>
          <w:rFonts w:ascii="Cambria" w:hAnsi="Cambria"/>
          <w:spacing w:val="-2"/>
          <w:sz w:val="25"/>
          <w:szCs w:val="25"/>
          <w:shd w:val="clear" w:color="auto" w:fill="FFFFFF"/>
          <w:lang w:val="es-DO"/>
        </w:rPr>
        <w:t xml:space="preserve"> Guerrero y </w:t>
      </w:r>
      <w:proofErr w:type="spellStart"/>
      <w:r w:rsidR="00892534" w:rsidRPr="00D7326B">
        <w:rPr>
          <w:rFonts w:ascii="Cambria" w:hAnsi="Cambria"/>
          <w:spacing w:val="-2"/>
          <w:sz w:val="25"/>
          <w:szCs w:val="25"/>
          <w:shd w:val="clear" w:color="auto" w:fill="FFFFFF"/>
          <w:lang w:val="es-DO"/>
        </w:rPr>
        <w:t>Yicet</w:t>
      </w:r>
      <w:proofErr w:type="spellEnd"/>
      <w:r w:rsidR="00892534" w:rsidRPr="00D7326B">
        <w:rPr>
          <w:rFonts w:ascii="Cambria" w:hAnsi="Cambria"/>
          <w:spacing w:val="-2"/>
          <w:sz w:val="25"/>
          <w:szCs w:val="25"/>
          <w:shd w:val="clear" w:color="auto" w:fill="FFFFFF"/>
          <w:lang w:val="es-DO"/>
        </w:rPr>
        <w:t xml:space="preserve"> Bueno</w:t>
      </w:r>
      <w:r w:rsidR="0000147A" w:rsidRPr="00D7326B">
        <w:rPr>
          <w:rFonts w:ascii="Cambria" w:hAnsi="Cambria"/>
          <w:spacing w:val="-2"/>
          <w:sz w:val="25"/>
          <w:szCs w:val="25"/>
          <w:shd w:val="clear" w:color="auto" w:fill="FFFFFF"/>
          <w:lang w:val="es-DO"/>
        </w:rPr>
        <w:t xml:space="preserve">, advirtió </w:t>
      </w:r>
      <w:r w:rsidRPr="00D7326B">
        <w:rPr>
          <w:rFonts w:ascii="Cambria" w:eastAsia="MS Mincho" w:hAnsi="Cambria" w:cs="Times New Roman"/>
          <w:sz w:val="25"/>
          <w:szCs w:val="25"/>
          <w:lang w:val="es-DO"/>
        </w:rPr>
        <w:t xml:space="preserve">que en la administración de justicia penal dominicana se ha venido generalizando una práctica preocupante mediante la cual determinados procesos permanecen abiertos durante períodos considerablemente superiores a los límites previstos por el ordenamiento jurídico, llegando incluso a extenderse por </w:t>
      </w:r>
      <w:r w:rsidR="00892534" w:rsidRPr="00D7326B">
        <w:rPr>
          <w:rFonts w:ascii="Cambria" w:eastAsia="MS Mincho" w:hAnsi="Cambria" w:cs="Times New Roman"/>
          <w:sz w:val="25"/>
          <w:szCs w:val="25"/>
          <w:lang w:val="es-DO"/>
        </w:rPr>
        <w:t>cinco</w:t>
      </w:r>
      <w:r w:rsidRPr="00D7326B">
        <w:rPr>
          <w:rFonts w:ascii="Cambria" w:eastAsia="MS Mincho" w:hAnsi="Cambria" w:cs="Times New Roman"/>
          <w:sz w:val="25"/>
          <w:szCs w:val="25"/>
          <w:lang w:val="es-DO"/>
        </w:rPr>
        <w:t xml:space="preserve"> años o más, sin que en algunos casos se haya superado siquiera la primera instancia</w:t>
      </w:r>
      <w:r w:rsidR="0000147A" w:rsidRPr="00D7326B">
        <w:rPr>
          <w:rFonts w:ascii="Cambria" w:eastAsia="MS Mincho" w:hAnsi="Cambria" w:cs="Times New Roman"/>
          <w:sz w:val="25"/>
          <w:szCs w:val="25"/>
          <w:lang w:val="es-DO"/>
        </w:rPr>
        <w:t>, caso concreto del Exprocurador General de la República Jean Alain Rodríguez, quien cuenta con un voluminoso e inmanejable expediente que indefectiblemente nunca podrá ser conocido sin que se viole la duración máxima del proceso</w:t>
      </w:r>
      <w:r w:rsidR="00892534" w:rsidRPr="00D7326B">
        <w:rPr>
          <w:rFonts w:ascii="Cambria" w:eastAsia="MS Mincho" w:hAnsi="Cambria" w:cs="Times New Roman"/>
          <w:sz w:val="25"/>
          <w:szCs w:val="25"/>
          <w:lang w:val="es-DO"/>
        </w:rPr>
        <w:t>, ello así por las razones que exponemos a continuación</w:t>
      </w:r>
      <w:r w:rsidR="00892534" w:rsidRPr="00D7326B">
        <w:rPr>
          <w:rFonts w:ascii="Cambria" w:hAnsi="Cambria" w:cstheme="minorHAnsi"/>
          <w:sz w:val="25"/>
          <w:szCs w:val="25"/>
          <w:lang w:val="es-DO"/>
        </w:rPr>
        <w:t>:</w:t>
      </w:r>
    </w:p>
    <w:p w14:paraId="0DBA68CF" w14:textId="77777777" w:rsidR="0000147A" w:rsidRPr="00D7326B" w:rsidRDefault="0000147A" w:rsidP="005A0A5A">
      <w:pPr>
        <w:spacing w:after="0" w:line="240" w:lineRule="atLeast"/>
        <w:jc w:val="both"/>
        <w:rPr>
          <w:rFonts w:ascii="Cambria" w:eastAsia="MS Mincho" w:hAnsi="Cambria" w:cs="Times New Roman"/>
          <w:sz w:val="25"/>
          <w:szCs w:val="25"/>
          <w:lang w:val="es-DO"/>
        </w:rPr>
      </w:pPr>
    </w:p>
    <w:p w14:paraId="3ADCF060" w14:textId="37A623DA" w:rsidR="00892534" w:rsidRPr="00D7326B" w:rsidRDefault="00892534" w:rsidP="00892534">
      <w:pPr>
        <w:spacing w:after="0" w:line="240" w:lineRule="atLeast"/>
        <w:jc w:val="both"/>
        <w:rPr>
          <w:rFonts w:ascii="Cambria" w:hAnsi="Cambria" w:cstheme="minorHAnsi"/>
          <w:sz w:val="25"/>
          <w:szCs w:val="25"/>
          <w:lang w:val="es-DO"/>
        </w:rPr>
      </w:pPr>
      <w:r w:rsidRPr="00D7326B">
        <w:rPr>
          <w:rFonts w:ascii="Cambria" w:hAnsi="Cambria" w:cstheme="minorHAnsi"/>
          <w:b/>
          <w:bCs/>
          <w:sz w:val="25"/>
          <w:szCs w:val="25"/>
          <w:lang w:val="es-DO"/>
        </w:rPr>
        <w:t>Primero:</w:t>
      </w:r>
      <w:r w:rsidRPr="00D7326B">
        <w:rPr>
          <w:rFonts w:ascii="Cambria" w:hAnsi="Cambria" w:cstheme="minorHAnsi"/>
          <w:sz w:val="25"/>
          <w:szCs w:val="25"/>
          <w:lang w:val="es-DO"/>
        </w:rPr>
        <w:t xml:space="preserve"> La lectura de la acusación de 12.274 páginas, llevaría </w:t>
      </w:r>
      <w:r w:rsidRPr="00D7326B">
        <w:rPr>
          <w:rFonts w:ascii="Cambria" w:hAnsi="Cambria" w:cstheme="minorHAnsi"/>
          <w:sz w:val="25"/>
          <w:szCs w:val="25"/>
          <w:lang w:val="es-DO"/>
        </w:rPr>
        <w:t>como se ha podido evidenciar para su incorporación por, incluso mandatorio por la norma semanas y semanas en un tribunal solo dedicado a ello.</w:t>
      </w:r>
      <w:r w:rsidRPr="00D7326B">
        <w:rPr>
          <w:rFonts w:ascii="Cambria" w:hAnsi="Cambria" w:cstheme="minorHAnsi"/>
          <w:sz w:val="25"/>
          <w:szCs w:val="25"/>
          <w:lang w:val="es-DO"/>
        </w:rPr>
        <w:t xml:space="preserve"> </w:t>
      </w:r>
    </w:p>
    <w:p w14:paraId="30E06AFD" w14:textId="77777777" w:rsidR="00892534" w:rsidRPr="00D7326B" w:rsidRDefault="00892534" w:rsidP="00892534">
      <w:pPr>
        <w:spacing w:after="0" w:line="240" w:lineRule="atLeast"/>
        <w:jc w:val="both"/>
        <w:rPr>
          <w:rFonts w:ascii="Cambria" w:hAnsi="Cambria" w:cstheme="minorHAnsi"/>
          <w:sz w:val="25"/>
          <w:szCs w:val="25"/>
          <w:lang w:val="es-DO"/>
        </w:rPr>
      </w:pPr>
    </w:p>
    <w:p w14:paraId="48FE65BF" w14:textId="7BBA306B" w:rsidR="00892534" w:rsidRDefault="00892534" w:rsidP="00892534">
      <w:pPr>
        <w:spacing w:after="0" w:line="240" w:lineRule="atLeast"/>
        <w:jc w:val="both"/>
        <w:rPr>
          <w:rFonts w:ascii="Cambria" w:hAnsi="Cambria" w:cstheme="minorHAnsi"/>
          <w:sz w:val="25"/>
          <w:szCs w:val="25"/>
          <w:lang w:val="es-DO"/>
        </w:rPr>
      </w:pPr>
      <w:r w:rsidRPr="00D7326B">
        <w:rPr>
          <w:rFonts w:ascii="Cambria" w:hAnsi="Cambria" w:cstheme="minorHAnsi"/>
          <w:b/>
          <w:bCs/>
          <w:sz w:val="25"/>
          <w:szCs w:val="25"/>
          <w:lang w:val="es-DO"/>
        </w:rPr>
        <w:t>Segundo:</w:t>
      </w:r>
      <w:r w:rsidRPr="00D7326B">
        <w:rPr>
          <w:rFonts w:ascii="Cambria" w:hAnsi="Cambria" w:cstheme="minorHAnsi"/>
          <w:sz w:val="25"/>
          <w:szCs w:val="25"/>
          <w:lang w:val="es-DO"/>
        </w:rPr>
        <w:t xml:space="preserve"> Todos los imputados tendrían en función de la norma, la posibilidad de acreditar un máximo de 3 abogados para su defensa, eso sin considerar asistentes y otro personal de apoyo, pero si sumamos 63 imputados, por 3 abogados cada uno, </w:t>
      </w:r>
      <w:r w:rsidRPr="00D7326B">
        <w:rPr>
          <w:rFonts w:ascii="Cambria" w:hAnsi="Cambria" w:cstheme="minorHAnsi"/>
          <w:sz w:val="25"/>
          <w:szCs w:val="25"/>
          <w:lang w:val="es-DO"/>
        </w:rPr>
        <w:lastRenderedPageBreak/>
        <w:t>tendríamos solo de la defensa principal, 189 defensores, los cuales no cabrían en ningún estrado, amén de las dificultades en tiempo para su participación.</w:t>
      </w:r>
    </w:p>
    <w:p w14:paraId="35BD1525" w14:textId="77777777" w:rsidR="00D7326B" w:rsidRPr="00D7326B" w:rsidRDefault="00D7326B" w:rsidP="00892534">
      <w:pPr>
        <w:spacing w:after="0" w:line="240" w:lineRule="atLeast"/>
        <w:jc w:val="both"/>
        <w:rPr>
          <w:rFonts w:ascii="Cambria" w:hAnsi="Cambria" w:cstheme="minorHAnsi"/>
          <w:sz w:val="25"/>
          <w:szCs w:val="25"/>
          <w:lang w:val="es-DO"/>
        </w:rPr>
      </w:pPr>
    </w:p>
    <w:p w14:paraId="1D8757F1" w14:textId="77777777" w:rsidR="00892534" w:rsidRPr="00D7326B" w:rsidRDefault="00892534" w:rsidP="00892534">
      <w:pPr>
        <w:spacing w:after="0" w:line="240" w:lineRule="atLeast"/>
        <w:jc w:val="both"/>
        <w:rPr>
          <w:rFonts w:ascii="Cambria" w:hAnsi="Cambria" w:cstheme="minorHAnsi"/>
          <w:sz w:val="25"/>
          <w:szCs w:val="25"/>
          <w:lang w:val="es-DO"/>
        </w:rPr>
      </w:pPr>
      <w:r w:rsidRPr="00D7326B">
        <w:rPr>
          <w:rFonts w:ascii="Cambria" w:hAnsi="Cambria" w:cstheme="minorHAnsi"/>
          <w:b/>
          <w:bCs/>
          <w:sz w:val="25"/>
          <w:szCs w:val="25"/>
          <w:lang w:val="es-DO"/>
        </w:rPr>
        <w:t>Tercero:</w:t>
      </w:r>
      <w:r w:rsidRPr="00D7326B">
        <w:rPr>
          <w:rFonts w:ascii="Cambria" w:hAnsi="Cambria" w:cstheme="minorHAnsi"/>
          <w:sz w:val="25"/>
          <w:szCs w:val="25"/>
          <w:lang w:val="es-DO"/>
        </w:rPr>
        <w:t xml:space="preserve"> Más de 3.500 pretensiones probatorias, solo del Ministerio Público, habilitando a cada imputado, para que, en relación a las pruebas de su imputación particular, estos puedan producir igual cantidad de pruebas, arrojando números desproporcionados e inmanejables.</w:t>
      </w:r>
    </w:p>
    <w:p w14:paraId="6C457996" w14:textId="77777777" w:rsidR="00892534" w:rsidRPr="00D7326B" w:rsidRDefault="00892534" w:rsidP="00892534">
      <w:pPr>
        <w:spacing w:after="0" w:line="240" w:lineRule="atLeast"/>
        <w:jc w:val="both"/>
        <w:rPr>
          <w:rFonts w:ascii="Cambria" w:hAnsi="Cambria" w:cstheme="minorHAnsi"/>
          <w:sz w:val="25"/>
          <w:szCs w:val="25"/>
          <w:lang w:val="es-DO"/>
        </w:rPr>
      </w:pPr>
    </w:p>
    <w:p w14:paraId="405662CF" w14:textId="361147BC" w:rsidR="00892534" w:rsidRPr="00D7326B" w:rsidRDefault="00892534" w:rsidP="00892534">
      <w:pPr>
        <w:spacing w:after="0" w:line="240" w:lineRule="atLeast"/>
        <w:jc w:val="both"/>
        <w:rPr>
          <w:rFonts w:ascii="Cambria" w:hAnsi="Cambria" w:cstheme="minorHAnsi"/>
          <w:sz w:val="25"/>
          <w:szCs w:val="25"/>
          <w:lang w:val="es-DO"/>
        </w:rPr>
      </w:pPr>
      <w:r w:rsidRPr="00D7326B">
        <w:rPr>
          <w:rFonts w:ascii="Cambria" w:hAnsi="Cambria" w:cstheme="minorHAnsi"/>
          <w:b/>
          <w:bCs/>
          <w:sz w:val="25"/>
          <w:szCs w:val="25"/>
          <w:lang w:val="es-DO"/>
        </w:rPr>
        <w:t>Cuarto:</w:t>
      </w:r>
      <w:r w:rsidRPr="00D7326B">
        <w:rPr>
          <w:rFonts w:ascii="Cambria" w:hAnsi="Cambria" w:cstheme="minorHAnsi"/>
          <w:sz w:val="25"/>
          <w:szCs w:val="25"/>
          <w:lang w:val="es-DO"/>
        </w:rPr>
        <w:t xml:space="preserve"> En Igual sentido por el tema de un principio rector de la constitución y en particular del </w:t>
      </w:r>
      <w:r w:rsidRPr="00D7326B">
        <w:rPr>
          <w:rFonts w:ascii="Cambria" w:hAnsi="Cambria" w:cstheme="minorHAnsi"/>
          <w:sz w:val="25"/>
          <w:szCs w:val="25"/>
          <w:lang w:val="es-DO"/>
        </w:rPr>
        <w:t>Código Procesal Penal</w:t>
      </w:r>
      <w:r w:rsidRPr="00D7326B">
        <w:rPr>
          <w:rFonts w:ascii="Cambria" w:hAnsi="Cambria" w:cstheme="minorHAnsi"/>
          <w:sz w:val="25"/>
          <w:szCs w:val="25"/>
          <w:lang w:val="es-DO"/>
        </w:rPr>
        <w:t xml:space="preserve">, la igualdad de armas que postula, que los imputados también en relación a los 400 testigos propuestos por el Ministerio Público, </w:t>
      </w:r>
      <w:r w:rsidRPr="00D7326B">
        <w:rPr>
          <w:rFonts w:ascii="Cambria" w:hAnsi="Cambria" w:cstheme="minorHAnsi"/>
          <w:sz w:val="25"/>
          <w:szCs w:val="25"/>
          <w:lang w:val="es-DO"/>
        </w:rPr>
        <w:t>tendrían</w:t>
      </w:r>
      <w:r w:rsidRPr="00D7326B">
        <w:rPr>
          <w:rFonts w:ascii="Cambria" w:hAnsi="Cambria" w:cstheme="minorHAnsi"/>
          <w:sz w:val="25"/>
          <w:szCs w:val="25"/>
          <w:lang w:val="es-DO"/>
        </w:rPr>
        <w:t xml:space="preserve"> la garantía de proponer igual cantidad de testigos por imputado, en aquellos testimonios que vayan dirigidos a ellos, también números inmanejables, de más de 25 o 30 mil testigos en teoría.</w:t>
      </w:r>
    </w:p>
    <w:p w14:paraId="4D1967A8" w14:textId="77777777" w:rsidR="00892534" w:rsidRPr="00D7326B" w:rsidRDefault="00892534" w:rsidP="00892534">
      <w:pPr>
        <w:spacing w:after="0" w:line="240" w:lineRule="atLeast"/>
        <w:jc w:val="both"/>
        <w:rPr>
          <w:rFonts w:ascii="Cambria" w:hAnsi="Cambria" w:cstheme="minorHAnsi"/>
          <w:sz w:val="25"/>
          <w:szCs w:val="25"/>
          <w:lang w:val="es-DO"/>
        </w:rPr>
      </w:pPr>
    </w:p>
    <w:p w14:paraId="62AA644E" w14:textId="6568D762" w:rsidR="00892534" w:rsidRPr="00D7326B" w:rsidRDefault="00892534" w:rsidP="00892534">
      <w:pPr>
        <w:spacing w:after="0" w:line="240" w:lineRule="atLeast"/>
        <w:jc w:val="both"/>
        <w:rPr>
          <w:rFonts w:ascii="Cambria" w:hAnsi="Cambria" w:cstheme="minorHAnsi"/>
          <w:sz w:val="25"/>
          <w:szCs w:val="25"/>
          <w:lang w:val="es-DO"/>
        </w:rPr>
      </w:pPr>
      <w:r w:rsidRPr="00D7326B">
        <w:rPr>
          <w:rFonts w:ascii="Cambria" w:hAnsi="Cambria" w:cstheme="minorHAnsi"/>
          <w:b/>
          <w:bCs/>
          <w:sz w:val="25"/>
          <w:szCs w:val="25"/>
          <w:lang w:val="es-DO"/>
        </w:rPr>
        <w:t>Quinto:</w:t>
      </w:r>
      <w:r w:rsidRPr="00D7326B">
        <w:rPr>
          <w:rFonts w:ascii="Cambria" w:hAnsi="Cambria" w:cstheme="minorHAnsi"/>
          <w:sz w:val="25"/>
          <w:szCs w:val="25"/>
          <w:lang w:val="es-DO"/>
        </w:rPr>
        <w:t xml:space="preserve"> Los testigos no podrían el día que le corresponda, estar dentro de la sala de audiencia, hasta tanto no le toque su turno, de ahí que el </w:t>
      </w:r>
      <w:r w:rsidRPr="00D7326B">
        <w:rPr>
          <w:rFonts w:ascii="Cambria" w:hAnsi="Cambria" w:cstheme="minorHAnsi"/>
          <w:sz w:val="25"/>
          <w:szCs w:val="25"/>
          <w:lang w:val="es-DO"/>
        </w:rPr>
        <w:t xml:space="preserve">Poder Judicial </w:t>
      </w:r>
      <w:r w:rsidRPr="00D7326B">
        <w:rPr>
          <w:rFonts w:ascii="Cambria" w:hAnsi="Cambria" w:cstheme="minorHAnsi"/>
          <w:sz w:val="25"/>
          <w:szCs w:val="25"/>
          <w:lang w:val="es-DO"/>
        </w:rPr>
        <w:t xml:space="preserve">debería irse preparando para habilitar los espacios y logística que pueda albergar tal cantidad de personas y abogados, además de que esto no entorpezca las labores cotidianas del </w:t>
      </w:r>
      <w:r w:rsidRPr="00D7326B">
        <w:rPr>
          <w:rFonts w:ascii="Cambria" w:hAnsi="Cambria" w:cstheme="minorHAnsi"/>
          <w:sz w:val="25"/>
          <w:szCs w:val="25"/>
          <w:lang w:val="es-DO"/>
        </w:rPr>
        <w:t xml:space="preserve">Poder Judicial </w:t>
      </w:r>
      <w:r w:rsidRPr="00D7326B">
        <w:rPr>
          <w:rFonts w:ascii="Cambria" w:hAnsi="Cambria" w:cstheme="minorHAnsi"/>
          <w:sz w:val="25"/>
          <w:szCs w:val="25"/>
          <w:lang w:val="es-DO"/>
        </w:rPr>
        <w:t>en la administración de justicia en detrimento de muchos imputados.</w:t>
      </w:r>
    </w:p>
    <w:p w14:paraId="7C2F55CF" w14:textId="77777777" w:rsidR="00892534" w:rsidRPr="00D7326B" w:rsidRDefault="00892534" w:rsidP="005A0A5A">
      <w:pPr>
        <w:spacing w:after="0" w:line="240" w:lineRule="atLeast"/>
        <w:jc w:val="both"/>
        <w:rPr>
          <w:rFonts w:ascii="Cambria" w:eastAsia="MS Mincho" w:hAnsi="Cambria" w:cs="Times New Roman"/>
          <w:sz w:val="25"/>
          <w:szCs w:val="25"/>
          <w:lang w:val="es-DO"/>
        </w:rPr>
      </w:pPr>
    </w:p>
    <w:p w14:paraId="67CF2609" w14:textId="0A4D6F50" w:rsidR="005A0A5A" w:rsidRPr="00D7326B" w:rsidRDefault="005A0A5A" w:rsidP="005A0A5A">
      <w:pPr>
        <w:spacing w:after="0" w:line="240" w:lineRule="atLeast"/>
        <w:jc w:val="both"/>
        <w:rPr>
          <w:rFonts w:ascii="Cambria" w:eastAsia="MS Mincho" w:hAnsi="Cambria" w:cs="Times New Roman"/>
          <w:sz w:val="25"/>
          <w:szCs w:val="25"/>
          <w:lang w:val="es-DO"/>
        </w:rPr>
      </w:pPr>
      <w:r w:rsidRPr="00D7326B">
        <w:rPr>
          <w:rFonts w:ascii="Cambria" w:eastAsia="MS Mincho" w:hAnsi="Cambria" w:cs="Times New Roman"/>
          <w:sz w:val="25"/>
          <w:szCs w:val="25"/>
          <w:lang w:val="es-DO"/>
        </w:rPr>
        <w:t>A juicio de Potentini, esta situación debe generar una seria reflexión dentro de todo el sistema de justicia, debido a que la prolongación indefinida de los procesos puede comprometer principios esenciales del Estado de derecho, entre ellos la tutela judicial efectiva, la seguridad jurídica, la presunción de inocencia, el derecho de defensa y el derecho de toda persona sometida a un proceso penal a obtener una decisión dentro de un plazo razonable.</w:t>
      </w:r>
      <w:r w:rsidR="00892534" w:rsidRPr="00D7326B">
        <w:rPr>
          <w:rFonts w:ascii="Cambria" w:eastAsia="MS Mincho" w:hAnsi="Cambria" w:cs="Times New Roman"/>
          <w:sz w:val="25"/>
          <w:szCs w:val="25"/>
          <w:lang w:val="es-DO"/>
        </w:rPr>
        <w:t xml:space="preserve"> </w:t>
      </w:r>
      <w:r w:rsidRPr="00D7326B">
        <w:rPr>
          <w:rFonts w:ascii="Cambria" w:eastAsia="MS Mincho" w:hAnsi="Cambria" w:cs="Times New Roman"/>
          <w:sz w:val="25"/>
          <w:szCs w:val="25"/>
          <w:lang w:val="es-DO"/>
        </w:rPr>
        <w:t>Señaló que el problema adquiere mayor dimensión cuando expedientes sometidos a la jurisdicción penal permanecen durante años sin alcanzar una sentencia definitiva, generando una especie de judicialización permanente de las personas involucradas.</w:t>
      </w:r>
    </w:p>
    <w:p w14:paraId="10F324C7" w14:textId="77777777" w:rsidR="005A0A5A" w:rsidRPr="00D7326B" w:rsidRDefault="005A0A5A" w:rsidP="005A0A5A">
      <w:pPr>
        <w:spacing w:after="0" w:line="240" w:lineRule="atLeast"/>
        <w:jc w:val="both"/>
        <w:rPr>
          <w:rFonts w:ascii="Cambria" w:eastAsia="MS Mincho" w:hAnsi="Cambria" w:cs="Times New Roman"/>
          <w:sz w:val="25"/>
          <w:szCs w:val="25"/>
          <w:lang w:val="es-DO"/>
        </w:rPr>
      </w:pPr>
    </w:p>
    <w:p w14:paraId="5EC39A93" w14:textId="66C94061" w:rsidR="00892534" w:rsidRPr="00D7326B" w:rsidRDefault="005A0A5A" w:rsidP="00892534">
      <w:pPr>
        <w:spacing w:after="0" w:line="240" w:lineRule="atLeast"/>
        <w:jc w:val="both"/>
        <w:rPr>
          <w:rFonts w:ascii="Cambria" w:eastAsia="MS Mincho" w:hAnsi="Cambria" w:cs="Times New Roman"/>
          <w:sz w:val="25"/>
          <w:szCs w:val="25"/>
          <w:lang w:val="es-DO"/>
        </w:rPr>
      </w:pPr>
      <w:r w:rsidRPr="00D7326B">
        <w:rPr>
          <w:rFonts w:ascii="Cambria" w:eastAsia="MS Mincho" w:hAnsi="Cambria" w:cs="Times New Roman"/>
          <w:sz w:val="25"/>
          <w:szCs w:val="25"/>
          <w:lang w:val="es-DO"/>
        </w:rPr>
        <w:t>El representante del gremio jurídico manifestó preocupación por la tendencia a atribuir al ejercicio de recursos, incidentes y mecanismos procesales contemplados por la legislación una supuesta intención dilatoria, particularmente cuando posteriormente esas actuaciones son utilizadas para justificar la prolongación del proceso.</w:t>
      </w:r>
      <w:r w:rsidR="00892534" w:rsidRPr="00D7326B">
        <w:rPr>
          <w:rFonts w:ascii="Cambria" w:eastAsia="MS Mincho" w:hAnsi="Cambria" w:cs="Times New Roman"/>
          <w:sz w:val="25"/>
          <w:szCs w:val="25"/>
          <w:lang w:val="es-DO"/>
        </w:rPr>
        <w:t xml:space="preserve"> De ahí que suscribi</w:t>
      </w:r>
      <w:r w:rsidR="00955BD0" w:rsidRPr="00D7326B">
        <w:rPr>
          <w:rFonts w:ascii="Cambria" w:eastAsia="MS Mincho" w:hAnsi="Cambria" w:cs="Times New Roman"/>
          <w:sz w:val="25"/>
          <w:szCs w:val="25"/>
          <w:lang w:val="es-DO"/>
        </w:rPr>
        <w:t>mos</w:t>
      </w:r>
      <w:r w:rsidR="00892534" w:rsidRPr="00D7326B">
        <w:rPr>
          <w:rFonts w:ascii="Cambria" w:eastAsia="MS Mincho" w:hAnsi="Cambria" w:cs="Times New Roman"/>
          <w:sz w:val="25"/>
          <w:szCs w:val="25"/>
          <w:lang w:val="es-DO"/>
        </w:rPr>
        <w:t xml:space="preserve"> las declaraciones del Dr. Carlos Balcacer quien entiende que </w:t>
      </w:r>
      <w:r w:rsidR="00892534" w:rsidRPr="00D7326B">
        <w:rPr>
          <w:rFonts w:ascii="Cambria" w:eastAsia="MS Mincho" w:hAnsi="Cambria" w:cs="Times New Roman"/>
          <w:sz w:val="25"/>
          <w:szCs w:val="25"/>
          <w:lang w:val="es-DO"/>
        </w:rPr>
        <w:t xml:space="preserve">interpretar de manera extensiva las actuaciones defensivas como mecanismos destinados a retrasar los procesos podría producir consecuencias </w:t>
      </w:r>
      <w:r w:rsidR="00892534" w:rsidRPr="00D7326B">
        <w:rPr>
          <w:rFonts w:ascii="Cambria" w:eastAsia="MS Mincho" w:hAnsi="Cambria" w:cs="Times New Roman"/>
          <w:sz w:val="25"/>
          <w:szCs w:val="25"/>
          <w:lang w:val="es-DO"/>
        </w:rPr>
        <w:lastRenderedPageBreak/>
        <w:t>negativas sobre el ejercicio de la abogacía y generar un efecto inhibidor sobre los profesionales del derecho, quienes tienen el deber de utilizar los medios legales disponibles para proteger los derechos e intereses de sus representados.</w:t>
      </w:r>
    </w:p>
    <w:p w14:paraId="565C702C" w14:textId="77777777" w:rsidR="005A0A5A" w:rsidRPr="00D7326B" w:rsidRDefault="005A0A5A" w:rsidP="005A0A5A">
      <w:pPr>
        <w:spacing w:after="0" w:line="240" w:lineRule="atLeast"/>
        <w:jc w:val="both"/>
        <w:rPr>
          <w:rFonts w:ascii="Cambria" w:eastAsia="MS Mincho" w:hAnsi="Cambria" w:cs="Times New Roman"/>
          <w:sz w:val="25"/>
          <w:szCs w:val="25"/>
          <w:lang w:val="es-DO"/>
        </w:rPr>
      </w:pPr>
    </w:p>
    <w:p w14:paraId="11349ABF" w14:textId="65DD9209" w:rsidR="005A0A5A" w:rsidRPr="00D7326B" w:rsidRDefault="00892534" w:rsidP="005A0A5A">
      <w:pPr>
        <w:spacing w:after="0" w:line="240" w:lineRule="atLeast"/>
        <w:jc w:val="both"/>
        <w:rPr>
          <w:rFonts w:ascii="Cambria" w:eastAsia="MS Mincho" w:hAnsi="Cambria" w:cs="Times New Roman"/>
          <w:sz w:val="25"/>
          <w:szCs w:val="25"/>
          <w:lang w:val="es-DO"/>
        </w:rPr>
      </w:pPr>
      <w:r w:rsidRPr="00D7326B">
        <w:rPr>
          <w:rFonts w:ascii="Cambria" w:eastAsia="MS Mincho" w:hAnsi="Cambria" w:cs="Times New Roman"/>
          <w:sz w:val="25"/>
          <w:szCs w:val="25"/>
          <w:lang w:val="es-DO"/>
        </w:rPr>
        <w:t>En ese orden de ideas el CARD entiende</w:t>
      </w:r>
      <w:r w:rsidR="005A0A5A" w:rsidRPr="00D7326B">
        <w:rPr>
          <w:rFonts w:ascii="Cambria" w:eastAsia="MS Mincho" w:hAnsi="Cambria" w:cs="Times New Roman"/>
          <w:sz w:val="25"/>
          <w:szCs w:val="25"/>
          <w:lang w:val="es-DO"/>
        </w:rPr>
        <w:t xml:space="preserve"> que debe establecerse una diferenciación clara entre una actuación manifiestamente abusiva destinada exclusivamente a obstaculizar un procedimiento y el ejercicio legítimo de las herramientas que el ordenamiento jurídico coloca a disposición de las partes para salvaguardar sus derechos.</w:t>
      </w:r>
      <w:r w:rsidR="001525C6" w:rsidRPr="00D7326B">
        <w:rPr>
          <w:rFonts w:ascii="Cambria" w:eastAsia="MS Mincho" w:hAnsi="Cambria" w:cs="Times New Roman"/>
          <w:sz w:val="25"/>
          <w:szCs w:val="25"/>
          <w:lang w:val="es-DO"/>
        </w:rPr>
        <w:t xml:space="preserve"> </w:t>
      </w:r>
      <w:r w:rsidR="005A0A5A" w:rsidRPr="00D7326B">
        <w:rPr>
          <w:rFonts w:ascii="Cambria" w:eastAsia="MS Mincho" w:hAnsi="Cambria" w:cs="Times New Roman"/>
          <w:sz w:val="25"/>
          <w:szCs w:val="25"/>
          <w:lang w:val="es-DO"/>
        </w:rPr>
        <w:t xml:space="preserve">En </w:t>
      </w:r>
      <w:r w:rsidR="00D7326B" w:rsidRPr="00D7326B">
        <w:rPr>
          <w:rFonts w:ascii="Cambria" w:eastAsia="MS Mincho" w:hAnsi="Cambria" w:cs="Times New Roman"/>
          <w:sz w:val="25"/>
          <w:szCs w:val="25"/>
          <w:lang w:val="es-DO"/>
        </w:rPr>
        <w:t>esas atenciones</w:t>
      </w:r>
      <w:r w:rsidR="005A0A5A" w:rsidRPr="00D7326B">
        <w:rPr>
          <w:rFonts w:ascii="Cambria" w:eastAsia="MS Mincho" w:hAnsi="Cambria" w:cs="Times New Roman"/>
          <w:sz w:val="25"/>
          <w:szCs w:val="25"/>
          <w:lang w:val="es-DO"/>
        </w:rPr>
        <w:t>, sostuvo que la interposición de recursos, excepciones, incidentes o cualquier otra actuación prevista dentro del sistema procesal no puede ser convertida, por sí sola, en una presunción de comportamiento dilatorio.</w:t>
      </w:r>
    </w:p>
    <w:p w14:paraId="2A21574C" w14:textId="77777777" w:rsidR="005A0A5A" w:rsidRPr="00D7326B" w:rsidRDefault="005A0A5A" w:rsidP="005A0A5A">
      <w:pPr>
        <w:spacing w:after="0" w:line="240" w:lineRule="atLeast"/>
        <w:jc w:val="both"/>
        <w:rPr>
          <w:rFonts w:ascii="Cambria" w:eastAsia="MS Mincho" w:hAnsi="Cambria" w:cs="Times New Roman"/>
          <w:sz w:val="25"/>
          <w:szCs w:val="25"/>
          <w:lang w:val="es-DO"/>
        </w:rPr>
      </w:pPr>
    </w:p>
    <w:p w14:paraId="4F990041" w14:textId="1FC07573" w:rsidR="005A0A5A" w:rsidRPr="00D7326B" w:rsidRDefault="005A0A5A" w:rsidP="005A0A5A">
      <w:pPr>
        <w:spacing w:after="0" w:line="240" w:lineRule="atLeast"/>
        <w:jc w:val="both"/>
        <w:rPr>
          <w:rFonts w:ascii="Cambria" w:eastAsia="MS Mincho" w:hAnsi="Cambria" w:cs="Times New Roman"/>
          <w:sz w:val="25"/>
          <w:szCs w:val="25"/>
          <w:lang w:val="es-DO"/>
        </w:rPr>
      </w:pPr>
      <w:r w:rsidRPr="00D7326B">
        <w:rPr>
          <w:rFonts w:ascii="Cambria" w:eastAsia="MS Mincho" w:hAnsi="Cambria" w:cs="Times New Roman"/>
          <w:sz w:val="25"/>
          <w:szCs w:val="25"/>
          <w:lang w:val="es-DO"/>
        </w:rPr>
        <w:t xml:space="preserve">Potentini </w:t>
      </w:r>
      <w:r w:rsidR="00892534" w:rsidRPr="00D7326B">
        <w:rPr>
          <w:rFonts w:ascii="Cambria" w:eastAsia="MS Mincho" w:hAnsi="Cambria" w:cs="Times New Roman"/>
          <w:sz w:val="25"/>
          <w:szCs w:val="25"/>
          <w:lang w:val="es-DO"/>
        </w:rPr>
        <w:t>lamentó como lo había expresado en otras oportunidades</w:t>
      </w:r>
      <w:r w:rsidR="00955BD0" w:rsidRPr="00D7326B">
        <w:rPr>
          <w:rFonts w:ascii="Cambria" w:eastAsia="MS Mincho" w:hAnsi="Cambria" w:cs="Times New Roman"/>
          <w:sz w:val="25"/>
          <w:szCs w:val="25"/>
          <w:lang w:val="es-DO"/>
        </w:rPr>
        <w:t>,</w:t>
      </w:r>
      <w:r w:rsidR="00892534" w:rsidRPr="00D7326B">
        <w:rPr>
          <w:rFonts w:ascii="Cambria" w:eastAsia="MS Mincho" w:hAnsi="Cambria" w:cs="Times New Roman"/>
          <w:sz w:val="25"/>
          <w:szCs w:val="25"/>
          <w:lang w:val="es-DO"/>
        </w:rPr>
        <w:t xml:space="preserve"> </w:t>
      </w:r>
      <w:r w:rsidR="00955BD0" w:rsidRPr="00D7326B">
        <w:rPr>
          <w:rFonts w:ascii="Cambria" w:eastAsia="MS Mincho" w:hAnsi="Cambria" w:cs="Times New Roman"/>
          <w:sz w:val="25"/>
          <w:szCs w:val="25"/>
          <w:lang w:val="es-DO"/>
        </w:rPr>
        <w:t>incluso</w:t>
      </w:r>
      <w:r w:rsidR="00892534" w:rsidRPr="00D7326B">
        <w:rPr>
          <w:rFonts w:ascii="Cambria" w:eastAsia="MS Mincho" w:hAnsi="Cambria" w:cs="Times New Roman"/>
          <w:sz w:val="25"/>
          <w:szCs w:val="25"/>
          <w:lang w:val="es-DO"/>
        </w:rPr>
        <w:t xml:space="preserve"> favorable para las partes envueltas</w:t>
      </w:r>
      <w:r w:rsidR="00955BD0" w:rsidRPr="00D7326B">
        <w:rPr>
          <w:rFonts w:ascii="Cambria" w:eastAsia="MS Mincho" w:hAnsi="Cambria" w:cs="Times New Roman"/>
          <w:sz w:val="25"/>
          <w:szCs w:val="25"/>
          <w:lang w:val="es-DO"/>
        </w:rPr>
        <w:t>,</w:t>
      </w:r>
      <w:r w:rsidR="00892534" w:rsidRPr="00D7326B">
        <w:rPr>
          <w:rFonts w:ascii="Cambria" w:eastAsia="MS Mincho" w:hAnsi="Cambria" w:cs="Times New Roman"/>
          <w:sz w:val="25"/>
          <w:szCs w:val="25"/>
          <w:lang w:val="es-DO"/>
        </w:rPr>
        <w:t xml:space="preserve"> el que este </w:t>
      </w:r>
      <w:r w:rsidR="00955BD0" w:rsidRPr="00D7326B">
        <w:rPr>
          <w:rFonts w:ascii="Cambria" w:eastAsia="MS Mincho" w:hAnsi="Cambria" w:cs="Times New Roman"/>
          <w:sz w:val="25"/>
          <w:szCs w:val="25"/>
          <w:lang w:val="es-DO"/>
        </w:rPr>
        <w:t>emblemático</w:t>
      </w:r>
      <w:r w:rsidR="00892534" w:rsidRPr="00D7326B">
        <w:rPr>
          <w:rFonts w:ascii="Cambria" w:eastAsia="MS Mincho" w:hAnsi="Cambria" w:cs="Times New Roman"/>
          <w:sz w:val="25"/>
          <w:szCs w:val="25"/>
          <w:lang w:val="es-DO"/>
        </w:rPr>
        <w:t xml:space="preserve"> caso se </w:t>
      </w:r>
      <w:r w:rsidR="002446EA" w:rsidRPr="00D7326B">
        <w:rPr>
          <w:rFonts w:ascii="Cambria" w:eastAsia="MS Mincho" w:hAnsi="Cambria" w:cs="Times New Roman"/>
          <w:sz w:val="25"/>
          <w:szCs w:val="25"/>
          <w:lang w:val="es-DO"/>
        </w:rPr>
        <w:t>llevar</w:t>
      </w:r>
      <w:r w:rsidR="002446EA">
        <w:rPr>
          <w:rFonts w:ascii="Cambria" w:eastAsia="MS Mincho" w:hAnsi="Cambria" w:cs="Times New Roman"/>
          <w:sz w:val="25"/>
          <w:szCs w:val="25"/>
          <w:lang w:val="es-DO"/>
        </w:rPr>
        <w:t>á</w:t>
      </w:r>
      <w:r w:rsidR="00892534" w:rsidRPr="00D7326B">
        <w:rPr>
          <w:rFonts w:ascii="Cambria" w:eastAsia="MS Mincho" w:hAnsi="Cambria" w:cs="Times New Roman"/>
          <w:sz w:val="25"/>
          <w:szCs w:val="25"/>
          <w:lang w:val="es-DO"/>
        </w:rPr>
        <w:t xml:space="preserve"> hasta las </w:t>
      </w:r>
      <w:r w:rsidR="00955BD0" w:rsidRPr="00D7326B">
        <w:rPr>
          <w:rFonts w:ascii="Cambria" w:eastAsia="MS Mincho" w:hAnsi="Cambria" w:cs="Times New Roman"/>
          <w:sz w:val="25"/>
          <w:szCs w:val="25"/>
          <w:lang w:val="es-DO"/>
        </w:rPr>
        <w:t>últimas</w:t>
      </w:r>
      <w:r w:rsidR="00892534" w:rsidRPr="00D7326B">
        <w:rPr>
          <w:rFonts w:ascii="Cambria" w:eastAsia="MS Mincho" w:hAnsi="Cambria" w:cs="Times New Roman"/>
          <w:sz w:val="25"/>
          <w:szCs w:val="25"/>
          <w:lang w:val="es-DO"/>
        </w:rPr>
        <w:t xml:space="preserve"> consecuencias, situación que se hace poco probable</w:t>
      </w:r>
      <w:r w:rsidR="00955BD0" w:rsidRPr="00D7326B">
        <w:rPr>
          <w:rFonts w:ascii="Cambria" w:eastAsia="MS Mincho" w:hAnsi="Cambria" w:cs="Times New Roman"/>
          <w:sz w:val="25"/>
          <w:szCs w:val="25"/>
          <w:lang w:val="es-DO"/>
        </w:rPr>
        <w:t>,</w:t>
      </w:r>
      <w:r w:rsidR="00892534" w:rsidRPr="00D7326B">
        <w:rPr>
          <w:rFonts w:ascii="Cambria" w:eastAsia="MS Mincho" w:hAnsi="Cambria" w:cs="Times New Roman"/>
          <w:sz w:val="25"/>
          <w:szCs w:val="25"/>
          <w:lang w:val="es-DO"/>
        </w:rPr>
        <w:t xml:space="preserve"> por los escollos procesales que hemos </w:t>
      </w:r>
      <w:r w:rsidR="00955BD0" w:rsidRPr="00D7326B">
        <w:rPr>
          <w:rFonts w:ascii="Cambria" w:eastAsia="MS Mincho" w:hAnsi="Cambria" w:cs="Times New Roman"/>
          <w:sz w:val="25"/>
          <w:szCs w:val="25"/>
          <w:lang w:val="es-DO"/>
        </w:rPr>
        <w:t>identificados</w:t>
      </w:r>
      <w:r w:rsidR="00892534" w:rsidRPr="00D7326B">
        <w:rPr>
          <w:rFonts w:ascii="Cambria" w:eastAsia="MS Mincho" w:hAnsi="Cambria" w:cs="Times New Roman"/>
          <w:sz w:val="25"/>
          <w:szCs w:val="25"/>
          <w:lang w:val="es-DO"/>
        </w:rPr>
        <w:t xml:space="preserve"> y que </w:t>
      </w:r>
      <w:r w:rsidR="00D7326B" w:rsidRPr="00D7326B">
        <w:rPr>
          <w:rFonts w:ascii="Cambria" w:eastAsia="MS Mincho" w:hAnsi="Cambria" w:cs="Times New Roman"/>
          <w:sz w:val="25"/>
          <w:szCs w:val="25"/>
          <w:lang w:val="es-DO"/>
        </w:rPr>
        <w:t>sin lugar a duda</w:t>
      </w:r>
      <w:r w:rsidR="00892534" w:rsidRPr="00D7326B">
        <w:rPr>
          <w:rFonts w:ascii="Cambria" w:eastAsia="MS Mincho" w:hAnsi="Cambria" w:cs="Times New Roman"/>
          <w:sz w:val="25"/>
          <w:szCs w:val="25"/>
          <w:lang w:val="es-DO"/>
        </w:rPr>
        <w:t xml:space="preserve"> no auguran otro camin</w:t>
      </w:r>
      <w:r w:rsidR="00955BD0" w:rsidRPr="00D7326B">
        <w:rPr>
          <w:rFonts w:ascii="Cambria" w:eastAsia="MS Mincho" w:hAnsi="Cambria" w:cs="Times New Roman"/>
          <w:sz w:val="25"/>
          <w:szCs w:val="25"/>
          <w:lang w:val="es-DO"/>
        </w:rPr>
        <w:t>o,</w:t>
      </w:r>
      <w:r w:rsidR="00892534" w:rsidRPr="00D7326B">
        <w:rPr>
          <w:rFonts w:ascii="Cambria" w:eastAsia="MS Mincho" w:hAnsi="Cambria" w:cs="Times New Roman"/>
          <w:sz w:val="25"/>
          <w:szCs w:val="25"/>
          <w:lang w:val="es-DO"/>
        </w:rPr>
        <w:t xml:space="preserve"> ahora o </w:t>
      </w:r>
      <w:r w:rsidR="00955BD0" w:rsidRPr="00D7326B">
        <w:rPr>
          <w:rFonts w:ascii="Cambria" w:eastAsia="MS Mincho" w:hAnsi="Cambria" w:cs="Times New Roman"/>
          <w:sz w:val="25"/>
          <w:szCs w:val="25"/>
          <w:lang w:val="es-DO"/>
        </w:rPr>
        <w:t>más</w:t>
      </w:r>
      <w:r w:rsidR="00892534" w:rsidRPr="00D7326B">
        <w:rPr>
          <w:rFonts w:ascii="Cambria" w:eastAsia="MS Mincho" w:hAnsi="Cambria" w:cs="Times New Roman"/>
          <w:sz w:val="25"/>
          <w:szCs w:val="25"/>
          <w:lang w:val="es-DO"/>
        </w:rPr>
        <w:t xml:space="preserve"> tarde</w:t>
      </w:r>
      <w:r w:rsidR="00955BD0" w:rsidRPr="00D7326B">
        <w:rPr>
          <w:rFonts w:ascii="Cambria" w:eastAsia="MS Mincho" w:hAnsi="Cambria" w:cs="Times New Roman"/>
          <w:sz w:val="25"/>
          <w:szCs w:val="25"/>
          <w:lang w:val="es-DO"/>
        </w:rPr>
        <w:t>,</w:t>
      </w:r>
      <w:r w:rsidR="00892534" w:rsidRPr="00D7326B">
        <w:rPr>
          <w:rFonts w:ascii="Cambria" w:eastAsia="MS Mincho" w:hAnsi="Cambria" w:cs="Times New Roman"/>
          <w:sz w:val="25"/>
          <w:szCs w:val="25"/>
          <w:lang w:val="es-DO"/>
        </w:rPr>
        <w:t xml:space="preserve"> que no sea la extinción de</w:t>
      </w:r>
      <w:r w:rsidR="00D7326B" w:rsidRPr="00D7326B">
        <w:rPr>
          <w:rFonts w:ascii="Cambria" w:eastAsia="MS Mincho" w:hAnsi="Cambria" w:cs="Times New Roman"/>
          <w:sz w:val="25"/>
          <w:szCs w:val="25"/>
          <w:lang w:val="es-DO"/>
        </w:rPr>
        <w:t xml:space="preserve"> la acción penal, por el vencimiento del plazo razonable para la persecución y judicialización.</w:t>
      </w:r>
    </w:p>
    <w:p w14:paraId="3BAB9D26" w14:textId="77777777" w:rsidR="005A0A5A" w:rsidRPr="00D7326B" w:rsidRDefault="005A0A5A" w:rsidP="005A0A5A">
      <w:pPr>
        <w:spacing w:after="0" w:line="240" w:lineRule="atLeast"/>
        <w:jc w:val="both"/>
        <w:rPr>
          <w:rFonts w:ascii="Cambria" w:eastAsia="MS Mincho" w:hAnsi="Cambria" w:cs="Times New Roman"/>
          <w:sz w:val="25"/>
          <w:szCs w:val="25"/>
          <w:lang w:val="es-DO"/>
        </w:rPr>
      </w:pPr>
    </w:p>
    <w:p w14:paraId="5ED28AA4" w14:textId="0392C186" w:rsidR="005A0A5A" w:rsidRPr="00D7326B" w:rsidRDefault="005A0A5A" w:rsidP="005A0A5A">
      <w:pPr>
        <w:spacing w:after="0" w:line="240" w:lineRule="atLeast"/>
        <w:jc w:val="both"/>
        <w:rPr>
          <w:rFonts w:ascii="Cambria" w:eastAsia="MS Mincho" w:hAnsi="Cambria" w:cs="Times New Roman"/>
          <w:sz w:val="25"/>
          <w:szCs w:val="25"/>
          <w:lang w:val="es-DO"/>
        </w:rPr>
      </w:pPr>
      <w:r w:rsidRPr="00D7326B">
        <w:rPr>
          <w:rFonts w:ascii="Cambria" w:eastAsia="MS Mincho" w:hAnsi="Cambria" w:cs="Times New Roman"/>
          <w:sz w:val="25"/>
          <w:szCs w:val="25"/>
          <w:lang w:val="es-DO"/>
        </w:rPr>
        <w:t>En ese contexto, explicó que una persecución penal eficaz no necesariamente debe medirse por la cantidad de páginas que contenga un expediente, por el número de testigos propuestos o por el volumen de las pruebas presentadas.</w:t>
      </w:r>
      <w:r w:rsidR="00C34CC0" w:rsidRPr="00D7326B">
        <w:rPr>
          <w:rFonts w:ascii="Cambria" w:eastAsia="MS Mincho" w:hAnsi="Cambria" w:cs="Times New Roman"/>
          <w:sz w:val="25"/>
          <w:szCs w:val="25"/>
          <w:lang w:val="es-DO"/>
        </w:rPr>
        <w:t xml:space="preserve"> </w:t>
      </w:r>
      <w:r w:rsidRPr="00D7326B">
        <w:rPr>
          <w:rFonts w:ascii="Cambria" w:eastAsia="MS Mincho" w:hAnsi="Cambria" w:cs="Times New Roman"/>
          <w:sz w:val="25"/>
          <w:szCs w:val="25"/>
          <w:lang w:val="es-DO"/>
        </w:rPr>
        <w:t>Por el contrario, sostuvo que uno de los desafíos de una administración de justicia moderna consiste en lograr procesos eficientes, manejables y compatibles simultáneamente con la obligación del Estado de perseguir las infracciones y con el deber de respetar las garantías fundamentales de todas las partes.</w:t>
      </w:r>
    </w:p>
    <w:p w14:paraId="4E1DA047" w14:textId="77777777" w:rsidR="005A0A5A" w:rsidRPr="00D7326B" w:rsidRDefault="005A0A5A" w:rsidP="005A0A5A">
      <w:pPr>
        <w:spacing w:after="0" w:line="240" w:lineRule="atLeast"/>
        <w:jc w:val="both"/>
        <w:rPr>
          <w:rFonts w:ascii="Cambria" w:eastAsia="MS Mincho" w:hAnsi="Cambria" w:cs="Times New Roman"/>
          <w:sz w:val="25"/>
          <w:szCs w:val="25"/>
          <w:lang w:val="es-DO"/>
        </w:rPr>
      </w:pPr>
    </w:p>
    <w:p w14:paraId="14101E51" w14:textId="77777777" w:rsidR="005A0A5A" w:rsidRPr="00D7326B" w:rsidRDefault="005A0A5A" w:rsidP="005A0A5A">
      <w:pPr>
        <w:spacing w:after="0" w:line="240" w:lineRule="atLeast"/>
        <w:jc w:val="both"/>
        <w:rPr>
          <w:rFonts w:ascii="Cambria" w:eastAsia="MS Mincho" w:hAnsi="Cambria" w:cs="Times New Roman"/>
          <w:sz w:val="25"/>
          <w:szCs w:val="25"/>
          <w:lang w:val="es-DO"/>
        </w:rPr>
      </w:pPr>
      <w:r w:rsidRPr="00D7326B">
        <w:rPr>
          <w:rFonts w:ascii="Cambria" w:eastAsia="MS Mincho" w:hAnsi="Cambria" w:cs="Times New Roman"/>
          <w:sz w:val="25"/>
          <w:szCs w:val="25"/>
          <w:lang w:val="es-DO"/>
        </w:rPr>
        <w:t>Indicó que los órganos encargados de la persecución penal deben ponderar desde la etapa de investigación la viabilidad procesal de las acusaciones que serán sometidas a los tribunales, de manera que estas puedan ser conocidas de forma efectiva y dentro de parámetros temporales razonables.</w:t>
      </w:r>
    </w:p>
    <w:p w14:paraId="4967BC14" w14:textId="77777777" w:rsidR="005A0A5A" w:rsidRPr="00D7326B" w:rsidRDefault="005A0A5A" w:rsidP="005A0A5A">
      <w:pPr>
        <w:spacing w:after="0" w:line="240" w:lineRule="atLeast"/>
        <w:jc w:val="both"/>
        <w:rPr>
          <w:rFonts w:ascii="Cambria" w:eastAsia="MS Mincho" w:hAnsi="Cambria" w:cs="Times New Roman"/>
          <w:sz w:val="25"/>
          <w:szCs w:val="25"/>
          <w:lang w:val="es-DO"/>
        </w:rPr>
      </w:pPr>
    </w:p>
    <w:p w14:paraId="2BA28552" w14:textId="0A5AE9AE" w:rsidR="005A0A5A" w:rsidRPr="00D7326B" w:rsidRDefault="005A0A5A" w:rsidP="005A0A5A">
      <w:pPr>
        <w:spacing w:after="0" w:line="240" w:lineRule="atLeast"/>
        <w:jc w:val="both"/>
        <w:rPr>
          <w:rFonts w:ascii="Cambria" w:eastAsia="MS Mincho" w:hAnsi="Cambria" w:cs="Times New Roman"/>
          <w:sz w:val="25"/>
          <w:szCs w:val="25"/>
          <w:lang w:val="es-DO"/>
        </w:rPr>
      </w:pPr>
      <w:r w:rsidRPr="00D7326B">
        <w:rPr>
          <w:rFonts w:ascii="Cambria" w:eastAsia="MS Mincho" w:hAnsi="Cambria" w:cs="Times New Roman"/>
          <w:sz w:val="25"/>
          <w:szCs w:val="25"/>
          <w:lang w:val="es-DO"/>
        </w:rPr>
        <w:t xml:space="preserve">Finalmente, </w:t>
      </w:r>
      <w:r w:rsidR="00955BD0" w:rsidRPr="00D7326B">
        <w:rPr>
          <w:rFonts w:ascii="Cambria" w:eastAsia="MS Mincho" w:hAnsi="Cambria" w:cs="Times New Roman"/>
          <w:sz w:val="25"/>
          <w:szCs w:val="25"/>
          <w:lang w:val="es-DO"/>
        </w:rPr>
        <w:t xml:space="preserve">Potentini también </w:t>
      </w:r>
      <w:r w:rsidR="00BE1B95" w:rsidRPr="00D7326B">
        <w:rPr>
          <w:rFonts w:ascii="Cambria" w:eastAsia="MS Mincho" w:hAnsi="Cambria" w:cs="Times New Roman"/>
          <w:sz w:val="25"/>
          <w:szCs w:val="25"/>
          <w:lang w:val="es-DO"/>
        </w:rPr>
        <w:t>abord</w:t>
      </w:r>
      <w:r w:rsidR="00BE1B95">
        <w:rPr>
          <w:rFonts w:ascii="Cambria" w:eastAsia="MS Mincho" w:hAnsi="Cambria" w:cs="Times New Roman"/>
          <w:sz w:val="25"/>
          <w:szCs w:val="25"/>
          <w:lang w:val="es-DO"/>
        </w:rPr>
        <w:t>ó</w:t>
      </w:r>
      <w:r w:rsidR="00955BD0" w:rsidRPr="00D7326B">
        <w:rPr>
          <w:rFonts w:ascii="Cambria" w:eastAsia="MS Mincho" w:hAnsi="Cambria" w:cs="Times New Roman"/>
          <w:sz w:val="25"/>
          <w:szCs w:val="25"/>
          <w:lang w:val="es-DO"/>
        </w:rPr>
        <w:t xml:space="preserve"> en su participación en Despierta RD, la implementación del Nuevo Código Penal, el </w:t>
      </w:r>
      <w:r w:rsidR="002446EA">
        <w:rPr>
          <w:rFonts w:ascii="Cambria" w:eastAsia="MS Mincho" w:hAnsi="Cambria" w:cs="Times New Roman"/>
          <w:sz w:val="25"/>
          <w:szCs w:val="25"/>
          <w:lang w:val="es-DO"/>
        </w:rPr>
        <w:t>auto</w:t>
      </w:r>
      <w:r w:rsidR="002446EA" w:rsidRPr="00D7326B">
        <w:rPr>
          <w:rFonts w:ascii="Cambria" w:eastAsia="MS Mincho" w:hAnsi="Cambria" w:cs="Times New Roman"/>
          <w:sz w:val="25"/>
          <w:szCs w:val="25"/>
          <w:lang w:val="es-DO"/>
        </w:rPr>
        <w:t xml:space="preserve"> aumento</w:t>
      </w:r>
      <w:r w:rsidR="00955BD0" w:rsidRPr="00D7326B">
        <w:rPr>
          <w:rFonts w:ascii="Cambria" w:eastAsia="MS Mincho" w:hAnsi="Cambria" w:cs="Times New Roman"/>
          <w:sz w:val="25"/>
          <w:szCs w:val="25"/>
          <w:lang w:val="es-DO"/>
        </w:rPr>
        <w:t xml:space="preserve"> </w:t>
      </w:r>
      <w:r w:rsidR="002446EA">
        <w:rPr>
          <w:rFonts w:ascii="Cambria" w:eastAsia="MS Mincho" w:hAnsi="Cambria" w:cs="Times New Roman"/>
          <w:sz w:val="25"/>
          <w:szCs w:val="25"/>
          <w:lang w:val="es-DO"/>
        </w:rPr>
        <w:t xml:space="preserve">ilegal </w:t>
      </w:r>
      <w:r w:rsidR="00955BD0" w:rsidRPr="00D7326B">
        <w:rPr>
          <w:rFonts w:ascii="Cambria" w:eastAsia="MS Mincho" w:hAnsi="Cambria" w:cs="Times New Roman"/>
          <w:sz w:val="25"/>
          <w:szCs w:val="25"/>
          <w:lang w:val="es-DO"/>
        </w:rPr>
        <w:t>del salario de los miembros del Consejo del Poder Judicial, además de la trascendencia que supone la evaluación y escogencia y renovación de La Suprema Corte de Justicia por parte del Consejo Nacional de la Magistratura.</w:t>
      </w:r>
    </w:p>
    <w:p w14:paraId="14E15AEE" w14:textId="77777777" w:rsidR="005A0A5A" w:rsidRPr="00D7326B" w:rsidRDefault="005A0A5A" w:rsidP="005A0A5A">
      <w:pPr>
        <w:spacing w:after="0" w:line="240" w:lineRule="atLeast"/>
        <w:jc w:val="both"/>
        <w:rPr>
          <w:rFonts w:ascii="Cambria" w:eastAsia="MS Mincho" w:hAnsi="Cambria" w:cs="Times New Roman"/>
          <w:sz w:val="25"/>
          <w:szCs w:val="25"/>
          <w:lang w:val="es-DO"/>
        </w:rPr>
      </w:pPr>
    </w:p>
    <w:p w14:paraId="36492D0B" w14:textId="5594A27A" w:rsidR="00CF1E23" w:rsidRPr="00D7326B" w:rsidRDefault="007929F3" w:rsidP="0013700C">
      <w:pPr>
        <w:spacing w:after="0" w:line="253" w:lineRule="atLeast"/>
        <w:jc w:val="center"/>
        <w:rPr>
          <w:rFonts w:ascii="Cambria" w:hAnsi="Cambria"/>
          <w:sz w:val="25"/>
          <w:szCs w:val="25"/>
        </w:rPr>
      </w:pPr>
      <w:r w:rsidRPr="00D7326B">
        <w:rPr>
          <w:rFonts w:ascii="Cambria" w:eastAsia="Times New Roman" w:hAnsi="Cambria" w:cs="Calibri"/>
          <w:b/>
          <w:bCs/>
          <w:sz w:val="25"/>
          <w:szCs w:val="25"/>
          <w:lang w:eastAsia="es-DO"/>
        </w:rPr>
        <w:t>DEPARTAMENTO DE COMUNICACIONES</w:t>
      </w:r>
    </w:p>
    <w:sectPr w:rsidR="00CF1E23" w:rsidRPr="00D7326B" w:rsidSect="00A237B1">
      <w:headerReference w:type="default" r:id="rId7"/>
      <w:footerReference w:type="default" r:id="rId8"/>
      <w:pgSz w:w="12240" w:h="15840"/>
      <w:pgMar w:top="-2410"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7B887" w14:textId="77777777" w:rsidR="00AC11FA" w:rsidRDefault="00AC11FA" w:rsidP="007867B1">
      <w:pPr>
        <w:spacing w:after="0" w:line="240" w:lineRule="auto"/>
      </w:pPr>
      <w:r>
        <w:separator/>
      </w:r>
    </w:p>
  </w:endnote>
  <w:endnote w:type="continuationSeparator" w:id="0">
    <w:p w14:paraId="62FF1E40" w14:textId="77777777" w:rsidR="00AC11FA" w:rsidRDefault="00AC11FA" w:rsidP="007867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DFEA2" w14:textId="046AF278" w:rsidR="00CA13C5" w:rsidRDefault="00492779" w:rsidP="00882A0A">
    <w:r>
      <w:rPr>
        <w:noProof/>
        <w:lang w:val="es-DO" w:eastAsia="es-DO"/>
      </w:rPr>
      <mc:AlternateContent>
        <mc:Choice Requires="wps">
          <w:drawing>
            <wp:anchor distT="0" distB="0" distL="114300" distR="114300" simplePos="0" relativeHeight="251661312" behindDoc="0" locked="0" layoutInCell="1" allowOverlap="1" wp14:anchorId="4198C31D" wp14:editId="01B1287D">
              <wp:simplePos x="0" y="0"/>
              <wp:positionH relativeFrom="column">
                <wp:posOffset>3882390</wp:posOffset>
              </wp:positionH>
              <wp:positionV relativeFrom="paragraph">
                <wp:posOffset>71120</wp:posOffset>
              </wp:positionV>
              <wp:extent cx="0" cy="742950"/>
              <wp:effectExtent l="9525" t="9525" r="9525" b="9525"/>
              <wp:wrapNone/>
              <wp:docPr id="68733573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29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6650FE9" id="_x0000_t32" coordsize="21600,21600" o:spt="32" o:oned="t" path="m,l21600,21600e" filled="f">
              <v:path arrowok="t" fillok="f" o:connecttype="none"/>
              <o:lock v:ext="edit" shapetype="t"/>
            </v:shapetype>
            <v:shape id="AutoShape 3" o:spid="_x0000_s1026" type="#_x0000_t32" style="position:absolute;margin-left:305.7pt;margin-top:5.6pt;width:0;height:5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"/>
          </w:pict>
        </mc:Fallback>
      </mc:AlternateContent>
    </w:r>
    <w:r>
      <w:rPr>
        <w:noProof/>
        <w:lang w:val="es-DO" w:eastAsia="es-DO"/>
      </w:rPr>
      <mc:AlternateContent>
        <mc:Choice Requires="wps">
          <w:drawing>
            <wp:anchor distT="0" distB="0" distL="114300" distR="114300" simplePos="0" relativeHeight="251660288" behindDoc="0" locked="0" layoutInCell="1" allowOverlap="1" wp14:anchorId="4198C31D" wp14:editId="58B38B56">
              <wp:simplePos x="0" y="0"/>
              <wp:positionH relativeFrom="column">
                <wp:posOffset>1548765</wp:posOffset>
              </wp:positionH>
              <wp:positionV relativeFrom="paragraph">
                <wp:posOffset>71120</wp:posOffset>
              </wp:positionV>
              <wp:extent cx="0" cy="742950"/>
              <wp:effectExtent l="9525" t="9525" r="9525" b="9525"/>
              <wp:wrapNone/>
              <wp:docPr id="36290411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29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EB0D70" id="AutoShape 2" o:spid="_x0000_s1026" type="#_x0000_t32" style="position:absolute;margin-left:121.95pt;margin-top:5.6pt;width:0;height:5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"/>
          </w:pict>
        </mc:Fallback>
      </mc:AlternateContent>
    </w:r>
    <w:r>
      <w:rPr>
        <w:noProof/>
        <w:lang w:val="es-DO" w:eastAsia="es-DO"/>
      </w:rPr>
      <mc:AlternateContent>
        <mc:Choice Requires="wps">
          <w:drawing>
            <wp:anchor distT="0" distB="0" distL="114300" distR="114300" simplePos="0" relativeHeight="251659264" behindDoc="0" locked="0" layoutInCell="1" allowOverlap="1" wp14:anchorId="0DD7A83A" wp14:editId="2286C7E2">
              <wp:simplePos x="0" y="0"/>
              <wp:positionH relativeFrom="column">
                <wp:posOffset>-908685</wp:posOffset>
              </wp:positionH>
              <wp:positionV relativeFrom="paragraph">
                <wp:posOffset>-24130</wp:posOffset>
              </wp:positionV>
              <wp:extent cx="7334250" cy="0"/>
              <wp:effectExtent l="9525" t="9525" r="9525" b="9525"/>
              <wp:wrapNone/>
              <wp:docPr id="1870775969"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342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7FA871" id="AutoShape 1" o:spid="_x0000_s1026" type="#_x0000_t32" style="position:absolute;margin-left:-71.55pt;margin-top:-1.9pt;width:57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"/>
          </w:pict>
        </mc:Fallback>
      </mc:AlternateContent>
    </w:r>
  </w:p>
  <w:p w14:paraId="0B92A3A1" w14:textId="37F2C609" w:rsidR="00A10711" w:rsidRPr="00A10711" w:rsidRDefault="00CA13C5" w:rsidP="00CA13C5">
    <w:pPr>
      <w:pStyle w:val="Piedepgina"/>
      <w:ind w:left="-1418" w:right="-1227"/>
      <w:rPr>
        <w:rFonts w:ascii="Arial" w:hAnsi="Arial" w:cs="Arial"/>
        <w:sz w:val="18"/>
        <w:szCs w:val="18"/>
      </w:rPr>
    </w:pPr>
    <w:r>
      <w:rPr>
        <w:rFonts w:ascii="Arial" w:hAnsi="Arial" w:cs="Arial"/>
        <w:sz w:val="18"/>
        <w:szCs w:val="18"/>
      </w:rPr>
      <w:t xml:space="preserve">              </w:t>
    </w:r>
    <w:r w:rsidR="00A10711" w:rsidRPr="00A10711">
      <w:rPr>
        <w:rFonts w:ascii="Arial" w:hAnsi="Arial" w:cs="Arial"/>
        <w:sz w:val="18"/>
        <w:szCs w:val="18"/>
      </w:rPr>
      <w:t>Calle Isabel La Católica No. 60</w:t>
    </w:r>
    <w:r>
      <w:rPr>
        <w:rFonts w:ascii="Arial" w:hAnsi="Arial" w:cs="Arial"/>
        <w:sz w:val="18"/>
        <w:szCs w:val="18"/>
      </w:rPr>
      <w:t xml:space="preserve">                         </w:t>
    </w:r>
    <w:r>
      <w:t xml:space="preserve">San Juan Bautista #136, Esq.          </w:t>
    </w:r>
    <w:r w:rsidR="00882A0A">
      <w:t xml:space="preserve">      </w:t>
    </w:r>
    <w:r>
      <w:t xml:space="preserve">  Av.</w:t>
    </w:r>
    <w:r w:rsidR="00344CF6">
      <w:t xml:space="preserve"> Simón Bolívar No. 9, Sector Gas</w:t>
    </w:r>
    <w:r>
      <w:t>cue</w:t>
    </w:r>
    <w:r>
      <w:tab/>
    </w:r>
  </w:p>
  <w:p w14:paraId="4BE9235D" w14:textId="5044B689" w:rsidR="00A10711" w:rsidRPr="00A10711" w:rsidRDefault="00CA13C5" w:rsidP="00882A0A">
    <w:pPr>
      <w:pStyle w:val="Piedepgina"/>
      <w:ind w:left="-993" w:right="-1085"/>
      <w:rPr>
        <w:rFonts w:ascii="Arial" w:hAnsi="Arial" w:cs="Arial"/>
        <w:sz w:val="18"/>
        <w:szCs w:val="18"/>
      </w:rPr>
    </w:pPr>
    <w:r>
      <w:rPr>
        <w:rFonts w:ascii="Arial" w:hAnsi="Arial" w:cs="Arial"/>
        <w:sz w:val="18"/>
        <w:szCs w:val="18"/>
      </w:rPr>
      <w:t xml:space="preserve">  </w:t>
    </w:r>
    <w:r w:rsidR="00A10711" w:rsidRPr="00A10711">
      <w:rPr>
        <w:rFonts w:ascii="Arial" w:hAnsi="Arial" w:cs="Arial"/>
        <w:sz w:val="18"/>
        <w:szCs w:val="18"/>
      </w:rPr>
      <w:t xml:space="preserve">Esq. Conde, Zona Colonial, Sto. </w:t>
    </w:r>
    <w:proofErr w:type="spellStart"/>
    <w:r w:rsidR="00A10711" w:rsidRPr="00A10711">
      <w:rPr>
        <w:rFonts w:ascii="Arial" w:hAnsi="Arial" w:cs="Arial"/>
        <w:sz w:val="18"/>
        <w:szCs w:val="18"/>
      </w:rPr>
      <w:t>Dgo</w:t>
    </w:r>
    <w:proofErr w:type="spellEnd"/>
    <w:r w:rsidR="00A10711" w:rsidRPr="00A10711">
      <w:rPr>
        <w:rFonts w:ascii="Arial" w:hAnsi="Arial" w:cs="Arial"/>
        <w:sz w:val="18"/>
        <w:szCs w:val="18"/>
      </w:rPr>
      <w:t xml:space="preserve">., </w:t>
    </w:r>
    <w:r>
      <w:rPr>
        <w:rFonts w:ascii="Arial" w:hAnsi="Arial" w:cs="Arial"/>
        <w:sz w:val="18"/>
        <w:szCs w:val="18"/>
      </w:rPr>
      <w:tab/>
      <w:t xml:space="preserve">  Cayetano Germosén, Sector Atala,</w:t>
    </w:r>
    <w:r w:rsidR="00882A0A">
      <w:rPr>
        <w:rFonts w:ascii="Arial" w:hAnsi="Arial" w:cs="Arial"/>
        <w:sz w:val="18"/>
        <w:szCs w:val="18"/>
      </w:rPr>
      <w:tab/>
      <w:t xml:space="preserve">                      Sto. </w:t>
    </w:r>
    <w:proofErr w:type="spellStart"/>
    <w:r w:rsidR="00882A0A">
      <w:rPr>
        <w:rFonts w:ascii="Arial" w:hAnsi="Arial" w:cs="Arial"/>
        <w:sz w:val="18"/>
        <w:szCs w:val="18"/>
      </w:rPr>
      <w:t>Dgo</w:t>
    </w:r>
    <w:proofErr w:type="spellEnd"/>
    <w:r w:rsidR="00882A0A">
      <w:rPr>
        <w:rFonts w:ascii="Arial" w:hAnsi="Arial" w:cs="Arial"/>
        <w:sz w:val="18"/>
        <w:szCs w:val="18"/>
      </w:rPr>
      <w:t>., Distrito Nacional, R.D.</w:t>
    </w:r>
  </w:p>
  <w:p w14:paraId="2849220D" w14:textId="2AAE2129" w:rsidR="007867B1" w:rsidRDefault="00A10711" w:rsidP="00882A0A">
    <w:pPr>
      <w:pStyle w:val="Piedepgina"/>
      <w:ind w:left="-993" w:right="-1085"/>
    </w:pPr>
    <w:r w:rsidRPr="00A10711">
      <w:rPr>
        <w:rFonts w:ascii="Arial" w:hAnsi="Arial" w:cs="Arial"/>
        <w:sz w:val="18"/>
        <w:szCs w:val="18"/>
      </w:rPr>
      <w:t>Distrito Nacional, R.D. Tel: 809-685-5259</w:t>
    </w:r>
    <w:r w:rsidR="00CA13C5">
      <w:rPr>
        <w:rFonts w:ascii="Arial" w:hAnsi="Arial" w:cs="Arial"/>
        <w:sz w:val="18"/>
        <w:szCs w:val="18"/>
      </w:rPr>
      <w:tab/>
      <w:t xml:space="preserve"> Sto. </w:t>
    </w:r>
    <w:proofErr w:type="spellStart"/>
    <w:r w:rsidR="00CA13C5">
      <w:rPr>
        <w:rFonts w:ascii="Arial" w:hAnsi="Arial" w:cs="Arial"/>
        <w:sz w:val="18"/>
        <w:szCs w:val="18"/>
      </w:rPr>
      <w:t>Dgo</w:t>
    </w:r>
    <w:proofErr w:type="spellEnd"/>
    <w:r w:rsidR="00CA13C5">
      <w:rPr>
        <w:rFonts w:ascii="Arial" w:hAnsi="Arial" w:cs="Arial"/>
        <w:sz w:val="18"/>
        <w:szCs w:val="18"/>
      </w:rPr>
      <w:t xml:space="preserve">., D.N.,R.D. </w:t>
    </w:r>
    <w:hyperlink r:id="rId1" w:history="1">
      <w:r w:rsidR="00882A0A" w:rsidRPr="00882A0A">
        <w:rPr>
          <w:rStyle w:val="Hipervnculo"/>
          <w:rFonts w:ascii="Arial" w:hAnsi="Arial" w:cs="Arial"/>
          <w:color w:val="auto"/>
          <w:sz w:val="18"/>
          <w:szCs w:val="18"/>
          <w:u w:val="none"/>
        </w:rPr>
        <w:t>Tel:809-685-4029</w:t>
      </w:r>
    </w:hyperlink>
    <w:r w:rsidR="00882A0A">
      <w:rPr>
        <w:rFonts w:ascii="Arial" w:hAnsi="Arial" w:cs="Arial"/>
        <w:sz w:val="18"/>
        <w:szCs w:val="18"/>
      </w:rPr>
      <w:t xml:space="preserve">                           </w:t>
    </w:r>
    <w:r w:rsidR="00882A0A">
      <w:rPr>
        <w:rFonts w:ascii="Arial" w:hAnsi="Arial" w:cs="Arial"/>
        <w:sz w:val="18"/>
        <w:szCs w:val="18"/>
      </w:rPr>
      <w:tab/>
      <w:t xml:space="preserve">       Tel: 809-685-4029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F16E60" w14:textId="77777777" w:rsidR="00AC11FA" w:rsidRDefault="00AC11FA" w:rsidP="007867B1">
      <w:pPr>
        <w:spacing w:after="0" w:line="240" w:lineRule="auto"/>
      </w:pPr>
      <w:r>
        <w:separator/>
      </w:r>
    </w:p>
  </w:footnote>
  <w:footnote w:type="continuationSeparator" w:id="0">
    <w:p w14:paraId="01CB24DA" w14:textId="77777777" w:rsidR="00AC11FA" w:rsidRDefault="00AC11FA" w:rsidP="007867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D4320" w14:textId="3087B000" w:rsidR="007867B1" w:rsidRPr="009D7DF7" w:rsidRDefault="00000000" w:rsidP="009D7DF7">
    <w:pPr>
      <w:pStyle w:val="Encabezado"/>
      <w:ind w:right="-660"/>
      <w:rPr>
        <w:rFonts w:ascii="Arial" w:hAnsi="Arial" w:cs="Arial"/>
        <w:b/>
        <w:bCs/>
        <w:color w:val="2F5496" w:themeColor="accent1" w:themeShade="BF"/>
        <w:sz w:val="28"/>
        <w:szCs w:val="28"/>
      </w:rPr>
    </w:pPr>
    <w:sdt>
      <w:sdtPr>
        <w:rPr>
          <w:rFonts w:ascii="Arial" w:hAnsi="Arial" w:cs="Arial"/>
          <w:b/>
          <w:bCs/>
          <w:color w:val="2F5496" w:themeColor="accent1" w:themeShade="BF"/>
          <w:sz w:val="28"/>
          <w:szCs w:val="28"/>
        </w:rPr>
        <w:id w:val="1115553788"/>
        <w:docPartObj>
          <w:docPartGallery w:val="Page Numbers (Margins)"/>
          <w:docPartUnique/>
        </w:docPartObj>
      </w:sdtPr>
      <w:sdtContent>
        <w:r w:rsidR="00C34CC0" w:rsidRPr="00C34CC0">
          <w:rPr>
            <w:rFonts w:ascii="Arial" w:hAnsi="Arial" w:cs="Arial"/>
            <w:b/>
            <w:bCs/>
            <w:noProof/>
            <w:color w:val="2F5496" w:themeColor="accent1" w:themeShade="BF"/>
            <w:sz w:val="28"/>
            <w:szCs w:val="28"/>
          </w:rPr>
          <mc:AlternateContent>
            <mc:Choice Requires="wps">
              <w:drawing>
                <wp:anchor distT="0" distB="0" distL="114300" distR="114300" simplePos="0" relativeHeight="251663360" behindDoc="0" locked="0" layoutInCell="0" allowOverlap="1" wp14:anchorId="47289F73" wp14:editId="34CD233B">
                  <wp:simplePos x="0" y="0"/>
                  <wp:positionH relativeFrom="rightMargin">
                    <wp:align>center</wp:align>
                  </wp:positionH>
                  <wp:positionV relativeFrom="margin">
                    <wp:align>bottom</wp:align>
                  </wp:positionV>
                  <wp:extent cx="510540" cy="2183130"/>
                  <wp:effectExtent l="0" t="0" r="3810" b="0"/>
                  <wp:wrapNone/>
                  <wp:docPr id="589836275" name="Rectá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79CB6D" w14:textId="77777777" w:rsidR="00C34CC0" w:rsidRDefault="00C34CC0">
                              <w:pPr>
                                <w:pStyle w:val="Piedepgina"/>
                                <w:rPr>
                                  <w:rFonts w:asciiTheme="majorHAnsi" w:eastAsiaTheme="majorEastAsia" w:hAnsiTheme="majorHAnsi" w:cstheme="majorBidi"/>
                                  <w:sz w:val="44"/>
                                  <w:szCs w:val="44"/>
                                </w:rPr>
                              </w:pPr>
                              <w:r>
                                <w:rPr>
                                  <w:rFonts w:asciiTheme="majorHAnsi" w:eastAsiaTheme="majorEastAsia" w:hAnsiTheme="majorHAnsi" w:cstheme="majorBidi"/>
                                  <w:lang w:val="es-ES"/>
                                </w:rPr>
                                <w:t>Página</w:t>
                              </w:r>
                              <w:r>
                                <w:rPr>
                                  <w:rFonts w:eastAsiaTheme="minorEastAsia" w:cs="Times New Roman"/>
                                </w:rPr>
                                <w:fldChar w:fldCharType="begin"/>
                              </w:r>
                              <w:r>
                                <w:instrText>PAGE    \* MERGEFORMAT</w:instrText>
                              </w:r>
                              <w:r>
                                <w:rPr>
                                  <w:rFonts w:eastAsiaTheme="minorEastAsia" w:cs="Times New Roman"/>
                                </w:rPr>
                                <w:fldChar w:fldCharType="separate"/>
                              </w:r>
                              <w:r>
                                <w:rPr>
                                  <w:rFonts w:asciiTheme="majorHAnsi" w:eastAsiaTheme="majorEastAsia" w:hAnsiTheme="majorHAnsi" w:cstheme="majorBidi"/>
                                  <w:sz w:val="44"/>
                                  <w:szCs w:val="44"/>
                                  <w:lang w:val="es-ES"/>
                                </w:rPr>
                                <w:t>2</w:t>
                              </w:r>
                              <w:r>
                                <w:rPr>
                                  <w:rFonts w:asciiTheme="majorHAnsi" w:eastAsiaTheme="majorEastAsia" w:hAnsiTheme="majorHAnsi" w:cstheme="majorBidi"/>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47289F73" id="Rectángulo 4" o:spid="_x0000_s1026" style="position:absolute;margin-left:0;margin-top:0;width:40.2pt;height:171.9pt;z-index:251663360;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Lq4eXza&#10;AQAAnAMAAA4AAAAAAAAAAAAAAAAALgIAAGRycy9lMm9Eb2MueG1sUEsBAi0AFAAGAAgAAAAhAEqH&#10;zzbaAAAABAEAAA8AAAAAAAAAAAAAAAAANAQAAGRycy9kb3ducmV2LnhtbFBLBQYAAAAABAAEAPMA&#10;AAA7BQAAAAA=&#10;" o:allowincell="f" filled="f" stroked="f">
                  <v:textbox style="layout-flow:vertical;mso-layout-flow-alt:bottom-to-top;mso-fit-shape-to-text:t">
                    <w:txbxContent>
                      <w:p w14:paraId="7C79CB6D" w14:textId="77777777" w:rsidR="00C34CC0" w:rsidRDefault="00C34CC0">
                        <w:pPr>
                          <w:pStyle w:val="Piedepgina"/>
                          <w:rPr>
                            <w:rFonts w:asciiTheme="majorHAnsi" w:eastAsiaTheme="majorEastAsia" w:hAnsiTheme="majorHAnsi" w:cstheme="majorBidi"/>
                            <w:sz w:val="44"/>
                            <w:szCs w:val="44"/>
                          </w:rPr>
                        </w:pPr>
                        <w:r>
                          <w:rPr>
                            <w:rFonts w:asciiTheme="majorHAnsi" w:eastAsiaTheme="majorEastAsia" w:hAnsiTheme="majorHAnsi" w:cstheme="majorBidi"/>
                            <w:lang w:val="es-ES"/>
                          </w:rPr>
                          <w:t>Página</w:t>
                        </w:r>
                        <w:r>
                          <w:rPr>
                            <w:rFonts w:eastAsiaTheme="minorEastAsia" w:cs="Times New Roman"/>
                          </w:rPr>
                          <w:fldChar w:fldCharType="begin"/>
                        </w:r>
                        <w:r>
                          <w:instrText>PAGE    \* MERGEFORMAT</w:instrText>
                        </w:r>
                        <w:r>
                          <w:rPr>
                            <w:rFonts w:eastAsiaTheme="minorEastAsia" w:cs="Times New Roman"/>
                          </w:rPr>
                          <w:fldChar w:fldCharType="separate"/>
                        </w:r>
                        <w:r>
                          <w:rPr>
                            <w:rFonts w:asciiTheme="majorHAnsi" w:eastAsiaTheme="majorEastAsia" w:hAnsiTheme="majorHAnsi" w:cstheme="majorBidi"/>
                            <w:sz w:val="44"/>
                            <w:szCs w:val="44"/>
                            <w:lang w:val="es-ES"/>
                          </w:rPr>
                          <w:t>2</w:t>
                        </w:r>
                        <w:r>
                          <w:rPr>
                            <w:rFonts w:asciiTheme="majorHAnsi" w:eastAsiaTheme="majorEastAsia" w:hAnsiTheme="majorHAnsi" w:cstheme="majorBidi"/>
                            <w:sz w:val="44"/>
                            <w:szCs w:val="44"/>
                          </w:rPr>
                          <w:fldChar w:fldCharType="end"/>
                        </w:r>
                      </w:p>
                    </w:txbxContent>
                  </v:textbox>
                  <w10:wrap anchorx="margin" anchory="margin"/>
                </v:rect>
              </w:pict>
            </mc:Fallback>
          </mc:AlternateContent>
        </w:r>
      </w:sdtContent>
    </w:sdt>
    <w:r w:rsidR="009D7DF7" w:rsidRPr="009D7DF7">
      <w:rPr>
        <w:rFonts w:ascii="Arial" w:hAnsi="Arial" w:cs="Arial"/>
        <w:b/>
        <w:bCs/>
        <w:noProof/>
        <w:color w:val="4472C4" w:themeColor="accent1"/>
        <w:sz w:val="28"/>
        <w:szCs w:val="28"/>
        <w:lang w:val="es-DO" w:eastAsia="es-DO"/>
      </w:rPr>
      <w:drawing>
        <wp:anchor distT="0" distB="0" distL="114300" distR="114300" simplePos="0" relativeHeight="251658240" behindDoc="0" locked="0" layoutInCell="1" allowOverlap="1" wp14:anchorId="09B52AF9" wp14:editId="7078A49B">
          <wp:simplePos x="0" y="0"/>
          <wp:positionH relativeFrom="column">
            <wp:posOffset>-756285</wp:posOffset>
          </wp:positionH>
          <wp:positionV relativeFrom="paragraph">
            <wp:posOffset>-201930</wp:posOffset>
          </wp:positionV>
          <wp:extent cx="1143000" cy="1129030"/>
          <wp:effectExtent l="0" t="0" r="0" b="0"/>
          <wp:wrapSquare wrapText="bothSides"/>
          <wp:docPr id="206379637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838882" name="Imagen 1829838882"/>
                  <pic:cNvPicPr/>
                </pic:nvPicPr>
                <pic:blipFill>
                  <a:blip r:embed="rId1">
                    <a:extLst>
                      <a:ext uri="{28A0092B-C50C-407E-A947-70E740481C1C}">
                        <a14:useLocalDpi xmlns:a14="http://schemas.microsoft.com/office/drawing/2010/main" val="0"/>
                      </a:ext>
                    </a:extLst>
                  </a:blip>
                  <a:stretch>
                    <a:fillRect/>
                  </a:stretch>
                </pic:blipFill>
                <pic:spPr>
                  <a:xfrm>
                    <a:off x="0" y="0"/>
                    <a:ext cx="1143000" cy="1129030"/>
                  </a:xfrm>
                  <a:prstGeom prst="rect">
                    <a:avLst/>
                  </a:prstGeom>
                </pic:spPr>
              </pic:pic>
            </a:graphicData>
          </a:graphic>
          <wp14:sizeRelH relativeFrom="page">
            <wp14:pctWidth>0</wp14:pctWidth>
          </wp14:sizeRelH>
          <wp14:sizeRelV relativeFrom="page">
            <wp14:pctHeight>0</wp14:pctHeight>
          </wp14:sizeRelV>
        </wp:anchor>
      </w:drawing>
    </w:r>
    <w:r w:rsidR="00A10711">
      <w:rPr>
        <w:rFonts w:ascii="Arial" w:hAnsi="Arial" w:cs="Arial"/>
        <w:b/>
        <w:bCs/>
        <w:color w:val="2F5496" w:themeColor="accent1" w:themeShade="BF"/>
        <w:sz w:val="28"/>
        <w:szCs w:val="28"/>
      </w:rPr>
      <w:t xml:space="preserve">   </w:t>
    </w:r>
    <w:r w:rsidR="007867B1" w:rsidRPr="009D7DF7">
      <w:rPr>
        <w:rFonts w:ascii="Arial" w:hAnsi="Arial" w:cs="Arial"/>
        <w:b/>
        <w:bCs/>
        <w:color w:val="2F5496" w:themeColor="accent1" w:themeShade="BF"/>
        <w:sz w:val="28"/>
        <w:szCs w:val="28"/>
      </w:rPr>
      <w:t>COLEGIO DE ABOGADOS DE LA REPÚBLICA DOMINICANA</w:t>
    </w:r>
  </w:p>
  <w:p w14:paraId="1FAD499A" w14:textId="35D23033" w:rsidR="007867B1" w:rsidRDefault="00A10711" w:rsidP="007867B1">
    <w:pPr>
      <w:pStyle w:val="Encabezado"/>
      <w:jc w:val="center"/>
      <w:rPr>
        <w:rFonts w:ascii="Arial" w:hAnsi="Arial" w:cs="Arial"/>
        <w:b/>
        <w:bCs/>
        <w:sz w:val="24"/>
        <w:szCs w:val="24"/>
      </w:rPr>
    </w:pPr>
    <w:r>
      <w:rPr>
        <w:rFonts w:ascii="Arial" w:hAnsi="Arial" w:cs="Arial"/>
        <w:b/>
        <w:bCs/>
        <w:sz w:val="24"/>
        <w:szCs w:val="24"/>
      </w:rPr>
      <w:t xml:space="preserve">     </w:t>
    </w:r>
    <w:r w:rsidR="007867B1" w:rsidRPr="007867B1">
      <w:rPr>
        <w:rFonts w:ascii="Arial" w:hAnsi="Arial" w:cs="Arial"/>
        <w:b/>
        <w:bCs/>
        <w:sz w:val="24"/>
        <w:szCs w:val="24"/>
      </w:rPr>
      <w:t>Fundado el 3 de febrero de 1983</w:t>
    </w:r>
  </w:p>
  <w:p w14:paraId="7936CCC4" w14:textId="1E781513" w:rsidR="007867B1" w:rsidRDefault="00A10711" w:rsidP="007867B1">
    <w:pPr>
      <w:pStyle w:val="Encabezado"/>
      <w:jc w:val="center"/>
      <w:rPr>
        <w:rFonts w:ascii="Arial" w:hAnsi="Arial" w:cs="Arial"/>
        <w:sz w:val="24"/>
        <w:szCs w:val="24"/>
      </w:rPr>
    </w:pPr>
    <w:r>
      <w:rPr>
        <w:rFonts w:ascii="Arial" w:hAnsi="Arial" w:cs="Arial"/>
        <w:sz w:val="24"/>
        <w:szCs w:val="24"/>
      </w:rPr>
      <w:t xml:space="preserve">            </w:t>
    </w:r>
    <w:r w:rsidR="007867B1">
      <w:rPr>
        <w:rFonts w:ascii="Arial" w:hAnsi="Arial" w:cs="Arial"/>
        <w:sz w:val="24"/>
        <w:szCs w:val="24"/>
      </w:rPr>
      <w:t>Miembro Activo de la Federación Interamericana de Abogados (FIA)</w:t>
    </w:r>
  </w:p>
  <w:p w14:paraId="76E60E98" w14:textId="7A26CA15" w:rsidR="007867B1" w:rsidRDefault="00A10711" w:rsidP="00A10711">
    <w:pPr>
      <w:pStyle w:val="Encabezado"/>
      <w:ind w:right="-518"/>
      <w:jc w:val="center"/>
      <w:rPr>
        <w:rFonts w:ascii="Arial" w:hAnsi="Arial" w:cs="Arial"/>
        <w:sz w:val="24"/>
        <w:szCs w:val="24"/>
      </w:rPr>
    </w:pPr>
    <w:r>
      <w:rPr>
        <w:rFonts w:ascii="Arial" w:hAnsi="Arial" w:cs="Arial"/>
        <w:sz w:val="24"/>
        <w:szCs w:val="24"/>
      </w:rPr>
      <w:t xml:space="preserve"> </w:t>
    </w:r>
    <w:r w:rsidR="00C34CC0">
      <w:rPr>
        <w:rFonts w:ascii="Arial" w:hAnsi="Arial" w:cs="Arial"/>
        <w:sz w:val="24"/>
        <w:szCs w:val="24"/>
      </w:rPr>
      <w:t>y</w:t>
    </w:r>
    <w:r w:rsidR="007867B1">
      <w:rPr>
        <w:rFonts w:ascii="Arial" w:hAnsi="Arial" w:cs="Arial"/>
        <w:sz w:val="24"/>
        <w:szCs w:val="24"/>
      </w:rPr>
      <w:t xml:space="preserve"> de la Unión Iberoamericana de Colegios y Agrupaciones de Abogados (UIBA</w:t>
    </w:r>
    <w:r w:rsidR="009D7DF7">
      <w:rPr>
        <w:rFonts w:ascii="Arial" w:hAnsi="Arial" w:cs="Arial"/>
        <w:sz w:val="24"/>
        <w:szCs w:val="24"/>
      </w:rPr>
      <w:t>)</w:t>
    </w:r>
  </w:p>
  <w:p w14:paraId="321D0AE0" w14:textId="77777777" w:rsidR="007867B1" w:rsidRPr="00882A0A" w:rsidRDefault="007867B1">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7B1"/>
    <w:rsid w:val="0000147A"/>
    <w:rsid w:val="0001793B"/>
    <w:rsid w:val="00041055"/>
    <w:rsid w:val="000753BD"/>
    <w:rsid w:val="000800C8"/>
    <w:rsid w:val="000A5B21"/>
    <w:rsid w:val="00104ED1"/>
    <w:rsid w:val="00107728"/>
    <w:rsid w:val="0013700C"/>
    <w:rsid w:val="00146B64"/>
    <w:rsid w:val="001525C6"/>
    <w:rsid w:val="00152A9A"/>
    <w:rsid w:val="00193C54"/>
    <w:rsid w:val="001E378D"/>
    <w:rsid w:val="00210F18"/>
    <w:rsid w:val="00226292"/>
    <w:rsid w:val="002446EA"/>
    <w:rsid w:val="002638BC"/>
    <w:rsid w:val="0027743F"/>
    <w:rsid w:val="002A4D41"/>
    <w:rsid w:val="002B62D0"/>
    <w:rsid w:val="002D3B52"/>
    <w:rsid w:val="00323AFA"/>
    <w:rsid w:val="00344CF6"/>
    <w:rsid w:val="0036772B"/>
    <w:rsid w:val="0037733B"/>
    <w:rsid w:val="003A1B38"/>
    <w:rsid w:val="003C17FA"/>
    <w:rsid w:val="003D51C3"/>
    <w:rsid w:val="004014BB"/>
    <w:rsid w:val="00426D75"/>
    <w:rsid w:val="00427C16"/>
    <w:rsid w:val="00492779"/>
    <w:rsid w:val="004F4547"/>
    <w:rsid w:val="00501047"/>
    <w:rsid w:val="00507A63"/>
    <w:rsid w:val="00541ACD"/>
    <w:rsid w:val="005748D9"/>
    <w:rsid w:val="00592E4C"/>
    <w:rsid w:val="005A0A5A"/>
    <w:rsid w:val="005C026D"/>
    <w:rsid w:val="005D41A9"/>
    <w:rsid w:val="005D510A"/>
    <w:rsid w:val="005E3C3A"/>
    <w:rsid w:val="0061401B"/>
    <w:rsid w:val="00647439"/>
    <w:rsid w:val="00682C5C"/>
    <w:rsid w:val="006937D4"/>
    <w:rsid w:val="006A7B9B"/>
    <w:rsid w:val="006B4CCE"/>
    <w:rsid w:val="006B6DE4"/>
    <w:rsid w:val="006C10E5"/>
    <w:rsid w:val="007109EC"/>
    <w:rsid w:val="00731C8D"/>
    <w:rsid w:val="007404F8"/>
    <w:rsid w:val="00750B5B"/>
    <w:rsid w:val="00761437"/>
    <w:rsid w:val="007867B1"/>
    <w:rsid w:val="007929F3"/>
    <w:rsid w:val="007A31B6"/>
    <w:rsid w:val="008269C4"/>
    <w:rsid w:val="00827606"/>
    <w:rsid w:val="00827ABA"/>
    <w:rsid w:val="00870FC1"/>
    <w:rsid w:val="00882A0A"/>
    <w:rsid w:val="00892534"/>
    <w:rsid w:val="008A7E55"/>
    <w:rsid w:val="008B04CF"/>
    <w:rsid w:val="009134F1"/>
    <w:rsid w:val="00955BD0"/>
    <w:rsid w:val="00964820"/>
    <w:rsid w:val="009735C5"/>
    <w:rsid w:val="00975353"/>
    <w:rsid w:val="00995536"/>
    <w:rsid w:val="009D7DF7"/>
    <w:rsid w:val="009E6240"/>
    <w:rsid w:val="00A1064F"/>
    <w:rsid w:val="00A10711"/>
    <w:rsid w:val="00A237B1"/>
    <w:rsid w:val="00A4452A"/>
    <w:rsid w:val="00A47935"/>
    <w:rsid w:val="00A47B52"/>
    <w:rsid w:val="00A56526"/>
    <w:rsid w:val="00A67497"/>
    <w:rsid w:val="00AA72DA"/>
    <w:rsid w:val="00AC11FA"/>
    <w:rsid w:val="00AE1DA6"/>
    <w:rsid w:val="00B05194"/>
    <w:rsid w:val="00B354D6"/>
    <w:rsid w:val="00B95F10"/>
    <w:rsid w:val="00BD78C9"/>
    <w:rsid w:val="00BE1B95"/>
    <w:rsid w:val="00C34CC0"/>
    <w:rsid w:val="00CA13C5"/>
    <w:rsid w:val="00CA78D8"/>
    <w:rsid w:val="00CC4092"/>
    <w:rsid w:val="00CC5EC9"/>
    <w:rsid w:val="00CF1E23"/>
    <w:rsid w:val="00CF21D2"/>
    <w:rsid w:val="00D50A76"/>
    <w:rsid w:val="00D7326B"/>
    <w:rsid w:val="00DA6DA3"/>
    <w:rsid w:val="00DD44F4"/>
    <w:rsid w:val="00DE6D13"/>
    <w:rsid w:val="00E04802"/>
    <w:rsid w:val="00E20F85"/>
    <w:rsid w:val="00E92BBC"/>
    <w:rsid w:val="00EA3167"/>
    <w:rsid w:val="00EC1E9F"/>
    <w:rsid w:val="00F6030C"/>
    <w:rsid w:val="00F97D55"/>
    <w:rsid w:val="00FA194F"/>
    <w:rsid w:val="00FD642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64B422"/>
  <w15:docId w15:val="{D2176921-14DC-4DA4-9A58-CC4C5768B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4092"/>
    <w:pPr>
      <w:spacing w:after="200" w:line="276" w:lineRule="auto"/>
    </w:pPr>
    <w:rPr>
      <w:rFonts w:eastAsiaTheme="minorEastAsia"/>
      <w:kern w:val="0"/>
      <w:lang w:val="en-US"/>
      <w14:ligatures w14:val="none"/>
    </w:rPr>
  </w:style>
  <w:style w:type="paragraph" w:styleId="Ttulo1">
    <w:name w:val="heading 1"/>
    <w:basedOn w:val="Normal"/>
    <w:next w:val="Normal"/>
    <w:link w:val="Ttulo1Car"/>
    <w:uiPriority w:val="9"/>
    <w:qFormat/>
    <w:rsid w:val="00501047"/>
    <w:pPr>
      <w:keepNext/>
      <w:keepLines/>
      <w:spacing w:before="240" w:after="0" w:line="259" w:lineRule="auto"/>
      <w:outlineLvl w:val="0"/>
    </w:pPr>
    <w:rPr>
      <w:rFonts w:asciiTheme="majorHAnsi" w:eastAsiaTheme="majorEastAsia" w:hAnsiTheme="majorHAnsi" w:cstheme="majorBidi"/>
      <w:color w:val="2F5496" w:themeColor="accent1" w:themeShade="BF"/>
      <w:kern w:val="2"/>
      <w:sz w:val="32"/>
      <w:szCs w:val="32"/>
      <w:lang w:val="es-ES_tradnl"/>
      <w14:ligatures w14:val="standardContextual"/>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867B1"/>
    <w:pPr>
      <w:tabs>
        <w:tab w:val="center" w:pos="4252"/>
        <w:tab w:val="right" w:pos="8504"/>
      </w:tabs>
      <w:spacing w:after="0" w:line="240" w:lineRule="auto"/>
    </w:pPr>
    <w:rPr>
      <w:rFonts w:eastAsiaTheme="minorHAnsi"/>
      <w:kern w:val="2"/>
      <w:lang w:val="es-ES_tradnl"/>
      <w14:ligatures w14:val="standardContextual"/>
    </w:rPr>
  </w:style>
  <w:style w:type="character" w:customStyle="1" w:styleId="EncabezadoCar">
    <w:name w:val="Encabezado Car"/>
    <w:basedOn w:val="Fuentedeprrafopredeter"/>
    <w:link w:val="Encabezado"/>
    <w:uiPriority w:val="99"/>
    <w:rsid w:val="007867B1"/>
    <w:rPr>
      <w:lang w:val="es-ES_tradnl"/>
    </w:rPr>
  </w:style>
  <w:style w:type="paragraph" w:styleId="Piedepgina">
    <w:name w:val="footer"/>
    <w:basedOn w:val="Normal"/>
    <w:link w:val="PiedepginaCar"/>
    <w:uiPriority w:val="99"/>
    <w:unhideWhenUsed/>
    <w:rsid w:val="007867B1"/>
    <w:pPr>
      <w:tabs>
        <w:tab w:val="center" w:pos="4252"/>
        <w:tab w:val="right" w:pos="8504"/>
      </w:tabs>
      <w:spacing w:after="0" w:line="240" w:lineRule="auto"/>
    </w:pPr>
    <w:rPr>
      <w:rFonts w:eastAsiaTheme="minorHAnsi"/>
      <w:kern w:val="2"/>
      <w:lang w:val="es-ES_tradnl"/>
      <w14:ligatures w14:val="standardContextual"/>
    </w:rPr>
  </w:style>
  <w:style w:type="character" w:customStyle="1" w:styleId="PiedepginaCar">
    <w:name w:val="Pie de página Car"/>
    <w:basedOn w:val="Fuentedeprrafopredeter"/>
    <w:link w:val="Piedepgina"/>
    <w:uiPriority w:val="99"/>
    <w:rsid w:val="007867B1"/>
    <w:rPr>
      <w:lang w:val="es-ES_tradnl"/>
    </w:rPr>
  </w:style>
  <w:style w:type="character" w:styleId="Hipervnculo">
    <w:name w:val="Hyperlink"/>
    <w:basedOn w:val="Fuentedeprrafopredeter"/>
    <w:uiPriority w:val="99"/>
    <w:unhideWhenUsed/>
    <w:rsid w:val="00882A0A"/>
    <w:rPr>
      <w:color w:val="0563C1" w:themeColor="hyperlink"/>
      <w:u w:val="single"/>
    </w:rPr>
  </w:style>
  <w:style w:type="character" w:customStyle="1" w:styleId="Mencinsinresolver1">
    <w:name w:val="Mención sin resolver1"/>
    <w:basedOn w:val="Fuentedeprrafopredeter"/>
    <w:uiPriority w:val="99"/>
    <w:semiHidden/>
    <w:unhideWhenUsed/>
    <w:rsid w:val="00882A0A"/>
    <w:rPr>
      <w:color w:val="605E5C"/>
      <w:shd w:val="clear" w:color="auto" w:fill="E1DFDD"/>
    </w:rPr>
  </w:style>
  <w:style w:type="paragraph" w:styleId="Sinespaciado">
    <w:name w:val="No Spacing"/>
    <w:uiPriority w:val="1"/>
    <w:qFormat/>
    <w:rsid w:val="00344CF6"/>
    <w:pPr>
      <w:spacing w:after="0" w:line="240" w:lineRule="auto"/>
    </w:pPr>
    <w:rPr>
      <w:kern w:val="0"/>
      <w:lang w:val="es-ES"/>
      <w14:ligatures w14:val="none"/>
    </w:rPr>
  </w:style>
  <w:style w:type="character" w:customStyle="1" w:styleId="Ttulo1Car">
    <w:name w:val="Título 1 Car"/>
    <w:basedOn w:val="Fuentedeprrafopredeter"/>
    <w:link w:val="Ttulo1"/>
    <w:uiPriority w:val="9"/>
    <w:rsid w:val="00501047"/>
    <w:rPr>
      <w:rFonts w:asciiTheme="majorHAnsi" w:eastAsiaTheme="majorEastAsia" w:hAnsiTheme="majorHAnsi" w:cstheme="majorBidi"/>
      <w:color w:val="2F5496" w:themeColor="accent1" w:themeShade="BF"/>
      <w:sz w:val="32"/>
      <w:szCs w:val="32"/>
      <w:lang w:val="es-ES_tradnl"/>
    </w:rPr>
  </w:style>
  <w:style w:type="paragraph" w:styleId="NormalWeb">
    <w:name w:val="Normal (Web)"/>
    <w:basedOn w:val="Normal"/>
    <w:uiPriority w:val="99"/>
    <w:unhideWhenUsed/>
    <w:rsid w:val="00501047"/>
    <w:pPr>
      <w:spacing w:before="100" w:beforeAutospacing="1" w:after="100" w:afterAutospacing="1" w:line="240" w:lineRule="auto"/>
    </w:pPr>
    <w:rPr>
      <w:rFonts w:ascii="Times New Roman" w:eastAsia="Times New Roman" w:hAnsi="Times New Roman" w:cs="Times New Roman"/>
      <w:sz w:val="24"/>
      <w:szCs w:val="24"/>
      <w:lang w:val="es-DO" w:eastAsia="es-DO"/>
    </w:rPr>
  </w:style>
  <w:style w:type="character" w:styleId="Fuerte">
    <w:name w:val="Strong"/>
    <w:basedOn w:val="Fuentedeprrafopredeter"/>
    <w:uiPriority w:val="22"/>
    <w:qFormat/>
    <w:rsid w:val="004F454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896611">
      <w:bodyDiv w:val="1"/>
      <w:marLeft w:val="0"/>
      <w:marRight w:val="0"/>
      <w:marTop w:val="0"/>
      <w:marBottom w:val="0"/>
      <w:divBdr>
        <w:top w:val="none" w:sz="0" w:space="0" w:color="auto"/>
        <w:left w:val="none" w:sz="0" w:space="0" w:color="auto"/>
        <w:bottom w:val="none" w:sz="0" w:space="0" w:color="auto"/>
        <w:right w:val="none" w:sz="0" w:space="0" w:color="auto"/>
      </w:divBdr>
      <w:divsChild>
        <w:div w:id="889682356">
          <w:marLeft w:val="0"/>
          <w:marRight w:val="0"/>
          <w:marTop w:val="0"/>
          <w:marBottom w:val="0"/>
          <w:divBdr>
            <w:top w:val="none" w:sz="0" w:space="0" w:color="auto"/>
            <w:left w:val="none" w:sz="0" w:space="0" w:color="auto"/>
            <w:bottom w:val="none" w:sz="0" w:space="0" w:color="auto"/>
            <w:right w:val="none" w:sz="0" w:space="0" w:color="auto"/>
          </w:divBdr>
          <w:divsChild>
            <w:div w:id="175002908">
              <w:marLeft w:val="0"/>
              <w:marRight w:val="0"/>
              <w:marTop w:val="0"/>
              <w:marBottom w:val="0"/>
              <w:divBdr>
                <w:top w:val="none" w:sz="0" w:space="0" w:color="auto"/>
                <w:left w:val="none" w:sz="0" w:space="0" w:color="auto"/>
                <w:bottom w:val="none" w:sz="0" w:space="0" w:color="auto"/>
                <w:right w:val="none" w:sz="0" w:space="0" w:color="auto"/>
              </w:divBdr>
            </w:div>
            <w:div w:id="219291681">
              <w:marLeft w:val="0"/>
              <w:marRight w:val="0"/>
              <w:marTop w:val="0"/>
              <w:marBottom w:val="0"/>
              <w:divBdr>
                <w:top w:val="none" w:sz="0" w:space="0" w:color="auto"/>
                <w:left w:val="none" w:sz="0" w:space="0" w:color="auto"/>
                <w:bottom w:val="none" w:sz="0" w:space="0" w:color="auto"/>
                <w:right w:val="none" w:sz="0" w:space="0" w:color="auto"/>
              </w:divBdr>
            </w:div>
            <w:div w:id="260376003">
              <w:marLeft w:val="0"/>
              <w:marRight w:val="0"/>
              <w:marTop w:val="0"/>
              <w:marBottom w:val="0"/>
              <w:divBdr>
                <w:top w:val="none" w:sz="0" w:space="0" w:color="auto"/>
                <w:left w:val="none" w:sz="0" w:space="0" w:color="auto"/>
                <w:bottom w:val="none" w:sz="0" w:space="0" w:color="auto"/>
                <w:right w:val="none" w:sz="0" w:space="0" w:color="auto"/>
              </w:divBdr>
            </w:div>
            <w:div w:id="321547272">
              <w:marLeft w:val="0"/>
              <w:marRight w:val="0"/>
              <w:marTop w:val="0"/>
              <w:marBottom w:val="0"/>
              <w:divBdr>
                <w:top w:val="none" w:sz="0" w:space="0" w:color="auto"/>
                <w:left w:val="none" w:sz="0" w:space="0" w:color="auto"/>
                <w:bottom w:val="none" w:sz="0" w:space="0" w:color="auto"/>
                <w:right w:val="none" w:sz="0" w:space="0" w:color="auto"/>
              </w:divBdr>
            </w:div>
            <w:div w:id="406849747">
              <w:marLeft w:val="0"/>
              <w:marRight w:val="0"/>
              <w:marTop w:val="0"/>
              <w:marBottom w:val="0"/>
              <w:divBdr>
                <w:top w:val="none" w:sz="0" w:space="0" w:color="auto"/>
                <w:left w:val="none" w:sz="0" w:space="0" w:color="auto"/>
                <w:bottom w:val="none" w:sz="0" w:space="0" w:color="auto"/>
                <w:right w:val="none" w:sz="0" w:space="0" w:color="auto"/>
              </w:divBdr>
            </w:div>
            <w:div w:id="457573029">
              <w:marLeft w:val="0"/>
              <w:marRight w:val="0"/>
              <w:marTop w:val="0"/>
              <w:marBottom w:val="0"/>
              <w:divBdr>
                <w:top w:val="none" w:sz="0" w:space="0" w:color="auto"/>
                <w:left w:val="none" w:sz="0" w:space="0" w:color="auto"/>
                <w:bottom w:val="none" w:sz="0" w:space="0" w:color="auto"/>
                <w:right w:val="none" w:sz="0" w:space="0" w:color="auto"/>
              </w:divBdr>
            </w:div>
            <w:div w:id="557324470">
              <w:marLeft w:val="0"/>
              <w:marRight w:val="0"/>
              <w:marTop w:val="0"/>
              <w:marBottom w:val="0"/>
              <w:divBdr>
                <w:top w:val="none" w:sz="0" w:space="0" w:color="auto"/>
                <w:left w:val="none" w:sz="0" w:space="0" w:color="auto"/>
                <w:bottom w:val="none" w:sz="0" w:space="0" w:color="auto"/>
                <w:right w:val="none" w:sz="0" w:space="0" w:color="auto"/>
              </w:divBdr>
            </w:div>
            <w:div w:id="732462893">
              <w:marLeft w:val="0"/>
              <w:marRight w:val="0"/>
              <w:marTop w:val="0"/>
              <w:marBottom w:val="0"/>
              <w:divBdr>
                <w:top w:val="none" w:sz="0" w:space="0" w:color="auto"/>
                <w:left w:val="none" w:sz="0" w:space="0" w:color="auto"/>
                <w:bottom w:val="none" w:sz="0" w:space="0" w:color="auto"/>
                <w:right w:val="none" w:sz="0" w:space="0" w:color="auto"/>
              </w:divBdr>
            </w:div>
            <w:div w:id="836188722">
              <w:marLeft w:val="0"/>
              <w:marRight w:val="0"/>
              <w:marTop w:val="0"/>
              <w:marBottom w:val="0"/>
              <w:divBdr>
                <w:top w:val="none" w:sz="0" w:space="0" w:color="auto"/>
                <w:left w:val="none" w:sz="0" w:space="0" w:color="auto"/>
                <w:bottom w:val="none" w:sz="0" w:space="0" w:color="auto"/>
                <w:right w:val="none" w:sz="0" w:space="0" w:color="auto"/>
              </w:divBdr>
            </w:div>
            <w:div w:id="943347829">
              <w:marLeft w:val="0"/>
              <w:marRight w:val="0"/>
              <w:marTop w:val="0"/>
              <w:marBottom w:val="0"/>
              <w:divBdr>
                <w:top w:val="none" w:sz="0" w:space="0" w:color="auto"/>
                <w:left w:val="none" w:sz="0" w:space="0" w:color="auto"/>
                <w:bottom w:val="none" w:sz="0" w:space="0" w:color="auto"/>
                <w:right w:val="none" w:sz="0" w:space="0" w:color="auto"/>
              </w:divBdr>
            </w:div>
            <w:div w:id="959265165">
              <w:marLeft w:val="0"/>
              <w:marRight w:val="0"/>
              <w:marTop w:val="0"/>
              <w:marBottom w:val="0"/>
              <w:divBdr>
                <w:top w:val="none" w:sz="0" w:space="0" w:color="auto"/>
                <w:left w:val="none" w:sz="0" w:space="0" w:color="auto"/>
                <w:bottom w:val="none" w:sz="0" w:space="0" w:color="auto"/>
                <w:right w:val="none" w:sz="0" w:space="0" w:color="auto"/>
              </w:divBdr>
            </w:div>
            <w:div w:id="974677859">
              <w:marLeft w:val="0"/>
              <w:marRight w:val="0"/>
              <w:marTop w:val="0"/>
              <w:marBottom w:val="0"/>
              <w:divBdr>
                <w:top w:val="none" w:sz="0" w:space="0" w:color="auto"/>
                <w:left w:val="none" w:sz="0" w:space="0" w:color="auto"/>
                <w:bottom w:val="none" w:sz="0" w:space="0" w:color="auto"/>
                <w:right w:val="none" w:sz="0" w:space="0" w:color="auto"/>
              </w:divBdr>
            </w:div>
            <w:div w:id="1033191272">
              <w:marLeft w:val="0"/>
              <w:marRight w:val="0"/>
              <w:marTop w:val="0"/>
              <w:marBottom w:val="0"/>
              <w:divBdr>
                <w:top w:val="none" w:sz="0" w:space="0" w:color="auto"/>
                <w:left w:val="none" w:sz="0" w:space="0" w:color="auto"/>
                <w:bottom w:val="none" w:sz="0" w:space="0" w:color="auto"/>
                <w:right w:val="none" w:sz="0" w:space="0" w:color="auto"/>
              </w:divBdr>
            </w:div>
            <w:div w:id="1067463051">
              <w:marLeft w:val="0"/>
              <w:marRight w:val="0"/>
              <w:marTop w:val="0"/>
              <w:marBottom w:val="0"/>
              <w:divBdr>
                <w:top w:val="none" w:sz="0" w:space="0" w:color="auto"/>
                <w:left w:val="none" w:sz="0" w:space="0" w:color="auto"/>
                <w:bottom w:val="none" w:sz="0" w:space="0" w:color="auto"/>
                <w:right w:val="none" w:sz="0" w:space="0" w:color="auto"/>
              </w:divBdr>
            </w:div>
            <w:div w:id="1078672839">
              <w:marLeft w:val="0"/>
              <w:marRight w:val="0"/>
              <w:marTop w:val="0"/>
              <w:marBottom w:val="0"/>
              <w:divBdr>
                <w:top w:val="none" w:sz="0" w:space="0" w:color="auto"/>
                <w:left w:val="none" w:sz="0" w:space="0" w:color="auto"/>
                <w:bottom w:val="none" w:sz="0" w:space="0" w:color="auto"/>
                <w:right w:val="none" w:sz="0" w:space="0" w:color="auto"/>
              </w:divBdr>
            </w:div>
            <w:div w:id="1716391812">
              <w:marLeft w:val="0"/>
              <w:marRight w:val="0"/>
              <w:marTop w:val="0"/>
              <w:marBottom w:val="0"/>
              <w:divBdr>
                <w:top w:val="none" w:sz="0" w:space="0" w:color="auto"/>
                <w:left w:val="none" w:sz="0" w:space="0" w:color="auto"/>
                <w:bottom w:val="none" w:sz="0" w:space="0" w:color="auto"/>
                <w:right w:val="none" w:sz="0" w:space="0" w:color="auto"/>
              </w:divBdr>
            </w:div>
            <w:div w:id="1921406349">
              <w:marLeft w:val="0"/>
              <w:marRight w:val="0"/>
              <w:marTop w:val="0"/>
              <w:marBottom w:val="0"/>
              <w:divBdr>
                <w:top w:val="none" w:sz="0" w:space="0" w:color="auto"/>
                <w:left w:val="none" w:sz="0" w:space="0" w:color="auto"/>
                <w:bottom w:val="none" w:sz="0" w:space="0" w:color="auto"/>
                <w:right w:val="none" w:sz="0" w:space="0" w:color="auto"/>
              </w:divBdr>
            </w:div>
            <w:div w:id="1993294220">
              <w:marLeft w:val="0"/>
              <w:marRight w:val="0"/>
              <w:marTop w:val="0"/>
              <w:marBottom w:val="0"/>
              <w:divBdr>
                <w:top w:val="none" w:sz="0" w:space="0" w:color="auto"/>
                <w:left w:val="none" w:sz="0" w:space="0" w:color="auto"/>
                <w:bottom w:val="none" w:sz="0" w:space="0" w:color="auto"/>
                <w:right w:val="none" w:sz="0" w:space="0" w:color="auto"/>
              </w:divBdr>
            </w:div>
            <w:div w:id="211085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568688">
      <w:bodyDiv w:val="1"/>
      <w:marLeft w:val="0"/>
      <w:marRight w:val="0"/>
      <w:marTop w:val="0"/>
      <w:marBottom w:val="0"/>
      <w:divBdr>
        <w:top w:val="none" w:sz="0" w:space="0" w:color="auto"/>
        <w:left w:val="none" w:sz="0" w:space="0" w:color="auto"/>
        <w:bottom w:val="none" w:sz="0" w:space="0" w:color="auto"/>
        <w:right w:val="none" w:sz="0" w:space="0" w:color="auto"/>
      </w:divBdr>
    </w:div>
    <w:div w:id="490685147">
      <w:bodyDiv w:val="1"/>
      <w:marLeft w:val="0"/>
      <w:marRight w:val="0"/>
      <w:marTop w:val="0"/>
      <w:marBottom w:val="0"/>
      <w:divBdr>
        <w:top w:val="none" w:sz="0" w:space="0" w:color="auto"/>
        <w:left w:val="none" w:sz="0" w:space="0" w:color="auto"/>
        <w:bottom w:val="none" w:sz="0" w:space="0" w:color="auto"/>
        <w:right w:val="none" w:sz="0" w:space="0" w:color="auto"/>
      </w:divBdr>
      <w:divsChild>
        <w:div w:id="1453206442">
          <w:marLeft w:val="0"/>
          <w:marRight w:val="0"/>
          <w:marTop w:val="0"/>
          <w:marBottom w:val="0"/>
          <w:divBdr>
            <w:top w:val="none" w:sz="0" w:space="0" w:color="auto"/>
            <w:left w:val="none" w:sz="0" w:space="0" w:color="auto"/>
            <w:bottom w:val="none" w:sz="0" w:space="0" w:color="auto"/>
            <w:right w:val="none" w:sz="0" w:space="0" w:color="auto"/>
          </w:divBdr>
          <w:divsChild>
            <w:div w:id="1827476674">
              <w:marLeft w:val="0"/>
              <w:marRight w:val="0"/>
              <w:marTop w:val="0"/>
              <w:marBottom w:val="0"/>
              <w:divBdr>
                <w:top w:val="none" w:sz="0" w:space="0" w:color="auto"/>
                <w:left w:val="none" w:sz="0" w:space="0" w:color="auto"/>
                <w:bottom w:val="none" w:sz="0" w:space="0" w:color="auto"/>
                <w:right w:val="none" w:sz="0" w:space="0" w:color="auto"/>
              </w:divBdr>
            </w:div>
          </w:divsChild>
        </w:div>
        <w:div w:id="1966303537">
          <w:marLeft w:val="0"/>
          <w:marRight w:val="0"/>
          <w:marTop w:val="0"/>
          <w:marBottom w:val="0"/>
          <w:divBdr>
            <w:top w:val="none" w:sz="0" w:space="0" w:color="auto"/>
            <w:left w:val="none" w:sz="0" w:space="0" w:color="auto"/>
            <w:bottom w:val="none" w:sz="0" w:space="0" w:color="auto"/>
            <w:right w:val="none" w:sz="0" w:space="0" w:color="auto"/>
          </w:divBdr>
          <w:divsChild>
            <w:div w:id="1075280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203445">
      <w:bodyDiv w:val="1"/>
      <w:marLeft w:val="0"/>
      <w:marRight w:val="0"/>
      <w:marTop w:val="0"/>
      <w:marBottom w:val="0"/>
      <w:divBdr>
        <w:top w:val="none" w:sz="0" w:space="0" w:color="auto"/>
        <w:left w:val="none" w:sz="0" w:space="0" w:color="auto"/>
        <w:bottom w:val="none" w:sz="0" w:space="0" w:color="auto"/>
        <w:right w:val="none" w:sz="0" w:space="0" w:color="auto"/>
      </w:divBdr>
    </w:div>
    <w:div w:id="830218033">
      <w:bodyDiv w:val="1"/>
      <w:marLeft w:val="0"/>
      <w:marRight w:val="0"/>
      <w:marTop w:val="0"/>
      <w:marBottom w:val="0"/>
      <w:divBdr>
        <w:top w:val="none" w:sz="0" w:space="0" w:color="auto"/>
        <w:left w:val="none" w:sz="0" w:space="0" w:color="auto"/>
        <w:bottom w:val="none" w:sz="0" w:space="0" w:color="auto"/>
        <w:right w:val="none" w:sz="0" w:space="0" w:color="auto"/>
      </w:divBdr>
    </w:div>
    <w:div w:id="1026256286">
      <w:bodyDiv w:val="1"/>
      <w:marLeft w:val="0"/>
      <w:marRight w:val="0"/>
      <w:marTop w:val="0"/>
      <w:marBottom w:val="0"/>
      <w:divBdr>
        <w:top w:val="none" w:sz="0" w:space="0" w:color="auto"/>
        <w:left w:val="none" w:sz="0" w:space="0" w:color="auto"/>
        <w:bottom w:val="none" w:sz="0" w:space="0" w:color="auto"/>
        <w:right w:val="none" w:sz="0" w:space="0" w:color="auto"/>
      </w:divBdr>
      <w:divsChild>
        <w:div w:id="40399690">
          <w:marLeft w:val="0"/>
          <w:marRight w:val="0"/>
          <w:marTop w:val="0"/>
          <w:marBottom w:val="0"/>
          <w:divBdr>
            <w:top w:val="none" w:sz="0" w:space="0" w:color="auto"/>
            <w:left w:val="none" w:sz="0" w:space="0" w:color="auto"/>
            <w:bottom w:val="none" w:sz="0" w:space="0" w:color="auto"/>
            <w:right w:val="none" w:sz="0" w:space="0" w:color="auto"/>
          </w:divBdr>
        </w:div>
        <w:div w:id="186799059">
          <w:marLeft w:val="0"/>
          <w:marRight w:val="0"/>
          <w:marTop w:val="0"/>
          <w:marBottom w:val="0"/>
          <w:divBdr>
            <w:top w:val="none" w:sz="0" w:space="0" w:color="auto"/>
            <w:left w:val="none" w:sz="0" w:space="0" w:color="auto"/>
            <w:bottom w:val="none" w:sz="0" w:space="0" w:color="auto"/>
            <w:right w:val="none" w:sz="0" w:space="0" w:color="auto"/>
          </w:divBdr>
        </w:div>
        <w:div w:id="238053210">
          <w:marLeft w:val="0"/>
          <w:marRight w:val="0"/>
          <w:marTop w:val="0"/>
          <w:marBottom w:val="0"/>
          <w:divBdr>
            <w:top w:val="none" w:sz="0" w:space="0" w:color="auto"/>
            <w:left w:val="none" w:sz="0" w:space="0" w:color="auto"/>
            <w:bottom w:val="none" w:sz="0" w:space="0" w:color="auto"/>
            <w:right w:val="none" w:sz="0" w:space="0" w:color="auto"/>
          </w:divBdr>
        </w:div>
        <w:div w:id="322665289">
          <w:marLeft w:val="0"/>
          <w:marRight w:val="0"/>
          <w:marTop w:val="0"/>
          <w:marBottom w:val="0"/>
          <w:divBdr>
            <w:top w:val="none" w:sz="0" w:space="0" w:color="auto"/>
            <w:left w:val="none" w:sz="0" w:space="0" w:color="auto"/>
            <w:bottom w:val="none" w:sz="0" w:space="0" w:color="auto"/>
            <w:right w:val="none" w:sz="0" w:space="0" w:color="auto"/>
          </w:divBdr>
        </w:div>
        <w:div w:id="351541618">
          <w:marLeft w:val="0"/>
          <w:marRight w:val="0"/>
          <w:marTop w:val="0"/>
          <w:marBottom w:val="0"/>
          <w:divBdr>
            <w:top w:val="none" w:sz="0" w:space="0" w:color="auto"/>
            <w:left w:val="none" w:sz="0" w:space="0" w:color="auto"/>
            <w:bottom w:val="none" w:sz="0" w:space="0" w:color="auto"/>
            <w:right w:val="none" w:sz="0" w:space="0" w:color="auto"/>
          </w:divBdr>
        </w:div>
        <w:div w:id="405567109">
          <w:marLeft w:val="0"/>
          <w:marRight w:val="0"/>
          <w:marTop w:val="0"/>
          <w:marBottom w:val="0"/>
          <w:divBdr>
            <w:top w:val="none" w:sz="0" w:space="0" w:color="auto"/>
            <w:left w:val="none" w:sz="0" w:space="0" w:color="auto"/>
            <w:bottom w:val="none" w:sz="0" w:space="0" w:color="auto"/>
            <w:right w:val="none" w:sz="0" w:space="0" w:color="auto"/>
          </w:divBdr>
        </w:div>
        <w:div w:id="470633575">
          <w:marLeft w:val="0"/>
          <w:marRight w:val="0"/>
          <w:marTop w:val="0"/>
          <w:marBottom w:val="0"/>
          <w:divBdr>
            <w:top w:val="none" w:sz="0" w:space="0" w:color="auto"/>
            <w:left w:val="none" w:sz="0" w:space="0" w:color="auto"/>
            <w:bottom w:val="none" w:sz="0" w:space="0" w:color="auto"/>
            <w:right w:val="none" w:sz="0" w:space="0" w:color="auto"/>
          </w:divBdr>
        </w:div>
        <w:div w:id="560140169">
          <w:marLeft w:val="0"/>
          <w:marRight w:val="0"/>
          <w:marTop w:val="0"/>
          <w:marBottom w:val="0"/>
          <w:divBdr>
            <w:top w:val="none" w:sz="0" w:space="0" w:color="auto"/>
            <w:left w:val="none" w:sz="0" w:space="0" w:color="auto"/>
            <w:bottom w:val="none" w:sz="0" w:space="0" w:color="auto"/>
            <w:right w:val="none" w:sz="0" w:space="0" w:color="auto"/>
          </w:divBdr>
        </w:div>
        <w:div w:id="577980892">
          <w:marLeft w:val="0"/>
          <w:marRight w:val="0"/>
          <w:marTop w:val="0"/>
          <w:marBottom w:val="0"/>
          <w:divBdr>
            <w:top w:val="none" w:sz="0" w:space="0" w:color="auto"/>
            <w:left w:val="none" w:sz="0" w:space="0" w:color="auto"/>
            <w:bottom w:val="none" w:sz="0" w:space="0" w:color="auto"/>
            <w:right w:val="none" w:sz="0" w:space="0" w:color="auto"/>
          </w:divBdr>
        </w:div>
        <w:div w:id="610629014">
          <w:marLeft w:val="0"/>
          <w:marRight w:val="0"/>
          <w:marTop w:val="0"/>
          <w:marBottom w:val="0"/>
          <w:divBdr>
            <w:top w:val="none" w:sz="0" w:space="0" w:color="auto"/>
            <w:left w:val="none" w:sz="0" w:space="0" w:color="auto"/>
            <w:bottom w:val="none" w:sz="0" w:space="0" w:color="auto"/>
            <w:right w:val="none" w:sz="0" w:space="0" w:color="auto"/>
          </w:divBdr>
        </w:div>
        <w:div w:id="707687187">
          <w:marLeft w:val="0"/>
          <w:marRight w:val="0"/>
          <w:marTop w:val="0"/>
          <w:marBottom w:val="0"/>
          <w:divBdr>
            <w:top w:val="none" w:sz="0" w:space="0" w:color="auto"/>
            <w:left w:val="none" w:sz="0" w:space="0" w:color="auto"/>
            <w:bottom w:val="none" w:sz="0" w:space="0" w:color="auto"/>
            <w:right w:val="none" w:sz="0" w:space="0" w:color="auto"/>
          </w:divBdr>
        </w:div>
        <w:div w:id="772631727">
          <w:marLeft w:val="0"/>
          <w:marRight w:val="0"/>
          <w:marTop w:val="0"/>
          <w:marBottom w:val="0"/>
          <w:divBdr>
            <w:top w:val="none" w:sz="0" w:space="0" w:color="auto"/>
            <w:left w:val="none" w:sz="0" w:space="0" w:color="auto"/>
            <w:bottom w:val="none" w:sz="0" w:space="0" w:color="auto"/>
            <w:right w:val="none" w:sz="0" w:space="0" w:color="auto"/>
          </w:divBdr>
        </w:div>
        <w:div w:id="782771754">
          <w:marLeft w:val="0"/>
          <w:marRight w:val="0"/>
          <w:marTop w:val="0"/>
          <w:marBottom w:val="0"/>
          <w:divBdr>
            <w:top w:val="none" w:sz="0" w:space="0" w:color="auto"/>
            <w:left w:val="none" w:sz="0" w:space="0" w:color="auto"/>
            <w:bottom w:val="none" w:sz="0" w:space="0" w:color="auto"/>
            <w:right w:val="none" w:sz="0" w:space="0" w:color="auto"/>
          </w:divBdr>
        </w:div>
        <w:div w:id="886332066">
          <w:marLeft w:val="0"/>
          <w:marRight w:val="0"/>
          <w:marTop w:val="0"/>
          <w:marBottom w:val="0"/>
          <w:divBdr>
            <w:top w:val="none" w:sz="0" w:space="0" w:color="auto"/>
            <w:left w:val="none" w:sz="0" w:space="0" w:color="auto"/>
            <w:bottom w:val="none" w:sz="0" w:space="0" w:color="auto"/>
            <w:right w:val="none" w:sz="0" w:space="0" w:color="auto"/>
          </w:divBdr>
        </w:div>
        <w:div w:id="951862471">
          <w:marLeft w:val="0"/>
          <w:marRight w:val="0"/>
          <w:marTop w:val="0"/>
          <w:marBottom w:val="0"/>
          <w:divBdr>
            <w:top w:val="none" w:sz="0" w:space="0" w:color="auto"/>
            <w:left w:val="none" w:sz="0" w:space="0" w:color="auto"/>
            <w:bottom w:val="none" w:sz="0" w:space="0" w:color="auto"/>
            <w:right w:val="none" w:sz="0" w:space="0" w:color="auto"/>
          </w:divBdr>
        </w:div>
        <w:div w:id="1117718399">
          <w:marLeft w:val="0"/>
          <w:marRight w:val="0"/>
          <w:marTop w:val="0"/>
          <w:marBottom w:val="0"/>
          <w:divBdr>
            <w:top w:val="none" w:sz="0" w:space="0" w:color="auto"/>
            <w:left w:val="none" w:sz="0" w:space="0" w:color="auto"/>
            <w:bottom w:val="none" w:sz="0" w:space="0" w:color="auto"/>
            <w:right w:val="none" w:sz="0" w:space="0" w:color="auto"/>
          </w:divBdr>
        </w:div>
        <w:div w:id="1257984247">
          <w:marLeft w:val="0"/>
          <w:marRight w:val="0"/>
          <w:marTop w:val="0"/>
          <w:marBottom w:val="0"/>
          <w:divBdr>
            <w:top w:val="none" w:sz="0" w:space="0" w:color="auto"/>
            <w:left w:val="none" w:sz="0" w:space="0" w:color="auto"/>
            <w:bottom w:val="none" w:sz="0" w:space="0" w:color="auto"/>
            <w:right w:val="none" w:sz="0" w:space="0" w:color="auto"/>
          </w:divBdr>
        </w:div>
        <w:div w:id="1266234063">
          <w:marLeft w:val="0"/>
          <w:marRight w:val="0"/>
          <w:marTop w:val="0"/>
          <w:marBottom w:val="0"/>
          <w:divBdr>
            <w:top w:val="none" w:sz="0" w:space="0" w:color="auto"/>
            <w:left w:val="none" w:sz="0" w:space="0" w:color="auto"/>
            <w:bottom w:val="none" w:sz="0" w:space="0" w:color="auto"/>
            <w:right w:val="none" w:sz="0" w:space="0" w:color="auto"/>
          </w:divBdr>
        </w:div>
        <w:div w:id="1717120681">
          <w:marLeft w:val="0"/>
          <w:marRight w:val="0"/>
          <w:marTop w:val="0"/>
          <w:marBottom w:val="0"/>
          <w:divBdr>
            <w:top w:val="none" w:sz="0" w:space="0" w:color="auto"/>
            <w:left w:val="none" w:sz="0" w:space="0" w:color="auto"/>
            <w:bottom w:val="none" w:sz="0" w:space="0" w:color="auto"/>
            <w:right w:val="none" w:sz="0" w:space="0" w:color="auto"/>
          </w:divBdr>
        </w:div>
        <w:div w:id="1857233316">
          <w:marLeft w:val="0"/>
          <w:marRight w:val="0"/>
          <w:marTop w:val="0"/>
          <w:marBottom w:val="0"/>
          <w:divBdr>
            <w:top w:val="none" w:sz="0" w:space="0" w:color="auto"/>
            <w:left w:val="none" w:sz="0" w:space="0" w:color="auto"/>
            <w:bottom w:val="none" w:sz="0" w:space="0" w:color="auto"/>
            <w:right w:val="none" w:sz="0" w:space="0" w:color="auto"/>
          </w:divBdr>
        </w:div>
        <w:div w:id="1958443164">
          <w:marLeft w:val="0"/>
          <w:marRight w:val="0"/>
          <w:marTop w:val="0"/>
          <w:marBottom w:val="0"/>
          <w:divBdr>
            <w:top w:val="none" w:sz="0" w:space="0" w:color="auto"/>
            <w:left w:val="none" w:sz="0" w:space="0" w:color="auto"/>
            <w:bottom w:val="none" w:sz="0" w:space="0" w:color="auto"/>
            <w:right w:val="none" w:sz="0" w:space="0" w:color="auto"/>
          </w:divBdr>
        </w:div>
      </w:divsChild>
    </w:div>
    <w:div w:id="1321035020">
      <w:bodyDiv w:val="1"/>
      <w:marLeft w:val="0"/>
      <w:marRight w:val="0"/>
      <w:marTop w:val="0"/>
      <w:marBottom w:val="0"/>
      <w:divBdr>
        <w:top w:val="none" w:sz="0" w:space="0" w:color="auto"/>
        <w:left w:val="none" w:sz="0" w:space="0" w:color="auto"/>
        <w:bottom w:val="none" w:sz="0" w:space="0" w:color="auto"/>
        <w:right w:val="none" w:sz="0" w:space="0" w:color="auto"/>
      </w:divBdr>
      <w:divsChild>
        <w:div w:id="259947107">
          <w:marLeft w:val="0"/>
          <w:marRight w:val="0"/>
          <w:marTop w:val="0"/>
          <w:marBottom w:val="0"/>
          <w:divBdr>
            <w:top w:val="none" w:sz="0" w:space="0" w:color="auto"/>
            <w:left w:val="none" w:sz="0" w:space="0" w:color="auto"/>
            <w:bottom w:val="none" w:sz="0" w:space="0" w:color="auto"/>
            <w:right w:val="none" w:sz="0" w:space="0" w:color="auto"/>
          </w:divBdr>
          <w:divsChild>
            <w:div w:id="1053893401">
              <w:marLeft w:val="0"/>
              <w:marRight w:val="0"/>
              <w:marTop w:val="0"/>
              <w:marBottom w:val="0"/>
              <w:divBdr>
                <w:top w:val="none" w:sz="0" w:space="0" w:color="auto"/>
                <w:left w:val="none" w:sz="0" w:space="0" w:color="auto"/>
                <w:bottom w:val="none" w:sz="0" w:space="0" w:color="auto"/>
                <w:right w:val="none" w:sz="0" w:space="0" w:color="auto"/>
              </w:divBdr>
              <w:divsChild>
                <w:div w:id="1028070024">
                  <w:marLeft w:val="0"/>
                  <w:marRight w:val="0"/>
                  <w:marTop w:val="0"/>
                  <w:marBottom w:val="0"/>
                  <w:divBdr>
                    <w:top w:val="none" w:sz="0" w:space="0" w:color="auto"/>
                    <w:left w:val="none" w:sz="0" w:space="0" w:color="auto"/>
                    <w:bottom w:val="none" w:sz="0" w:space="0" w:color="auto"/>
                    <w:right w:val="none" w:sz="0" w:space="0" w:color="auto"/>
                  </w:divBdr>
                  <w:divsChild>
                    <w:div w:id="1940404520">
                      <w:marLeft w:val="0"/>
                      <w:marRight w:val="0"/>
                      <w:marTop w:val="0"/>
                      <w:marBottom w:val="0"/>
                      <w:divBdr>
                        <w:top w:val="none" w:sz="0" w:space="0" w:color="auto"/>
                        <w:left w:val="none" w:sz="0" w:space="0" w:color="auto"/>
                        <w:bottom w:val="none" w:sz="0" w:space="0" w:color="auto"/>
                        <w:right w:val="none" w:sz="0" w:space="0" w:color="auto"/>
                      </w:divBdr>
                      <w:divsChild>
                        <w:div w:id="2120031057">
                          <w:marLeft w:val="0"/>
                          <w:marRight w:val="0"/>
                          <w:marTop w:val="0"/>
                          <w:marBottom w:val="0"/>
                          <w:divBdr>
                            <w:top w:val="none" w:sz="0" w:space="0" w:color="auto"/>
                            <w:left w:val="none" w:sz="0" w:space="0" w:color="auto"/>
                            <w:bottom w:val="none" w:sz="0" w:space="0" w:color="auto"/>
                            <w:right w:val="none" w:sz="0" w:space="0" w:color="auto"/>
                          </w:divBdr>
                          <w:divsChild>
                            <w:div w:id="45111392">
                              <w:marLeft w:val="0"/>
                              <w:marRight w:val="0"/>
                              <w:marTop w:val="0"/>
                              <w:marBottom w:val="0"/>
                              <w:divBdr>
                                <w:top w:val="none" w:sz="0" w:space="0" w:color="auto"/>
                                <w:left w:val="none" w:sz="0" w:space="0" w:color="auto"/>
                                <w:bottom w:val="none" w:sz="0" w:space="0" w:color="auto"/>
                                <w:right w:val="none" w:sz="0" w:space="0" w:color="auto"/>
                              </w:divBdr>
                              <w:divsChild>
                                <w:div w:id="803161973">
                                  <w:marLeft w:val="0"/>
                                  <w:marRight w:val="0"/>
                                  <w:marTop w:val="0"/>
                                  <w:marBottom w:val="0"/>
                                  <w:divBdr>
                                    <w:top w:val="none" w:sz="0" w:space="0" w:color="auto"/>
                                    <w:left w:val="none" w:sz="0" w:space="0" w:color="auto"/>
                                    <w:bottom w:val="none" w:sz="0" w:space="0" w:color="auto"/>
                                    <w:right w:val="none" w:sz="0" w:space="0" w:color="auto"/>
                                  </w:divBdr>
                                  <w:divsChild>
                                    <w:div w:id="1527057070">
                                      <w:marLeft w:val="0"/>
                                      <w:marRight w:val="0"/>
                                      <w:marTop w:val="0"/>
                                      <w:marBottom w:val="0"/>
                                      <w:divBdr>
                                        <w:top w:val="none" w:sz="0" w:space="0" w:color="auto"/>
                                        <w:left w:val="none" w:sz="0" w:space="0" w:color="auto"/>
                                        <w:bottom w:val="none" w:sz="0" w:space="0" w:color="auto"/>
                                        <w:right w:val="none" w:sz="0" w:space="0" w:color="auto"/>
                                      </w:divBdr>
                                    </w:div>
                                  </w:divsChild>
                                </w:div>
                                <w:div w:id="1208646578">
                                  <w:marLeft w:val="0"/>
                                  <w:marRight w:val="0"/>
                                  <w:marTop w:val="0"/>
                                  <w:marBottom w:val="0"/>
                                  <w:divBdr>
                                    <w:top w:val="none" w:sz="0" w:space="0" w:color="auto"/>
                                    <w:left w:val="none" w:sz="0" w:space="0" w:color="auto"/>
                                    <w:bottom w:val="none" w:sz="0" w:space="0" w:color="auto"/>
                                    <w:right w:val="none" w:sz="0" w:space="0" w:color="auto"/>
                                  </w:divBdr>
                                  <w:divsChild>
                                    <w:div w:id="1599749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7598429">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769885360">
          <w:marLeft w:val="0"/>
          <w:marRight w:val="0"/>
          <w:marTop w:val="0"/>
          <w:marBottom w:val="0"/>
          <w:divBdr>
            <w:top w:val="none" w:sz="0" w:space="0" w:color="auto"/>
            <w:left w:val="none" w:sz="0" w:space="0" w:color="auto"/>
            <w:bottom w:val="none" w:sz="0" w:space="0" w:color="auto"/>
            <w:right w:val="none" w:sz="0" w:space="0" w:color="auto"/>
          </w:divBdr>
          <w:divsChild>
            <w:div w:id="988289235">
              <w:marLeft w:val="0"/>
              <w:marRight w:val="0"/>
              <w:marTop w:val="0"/>
              <w:marBottom w:val="0"/>
              <w:divBdr>
                <w:top w:val="none" w:sz="0" w:space="0" w:color="auto"/>
                <w:left w:val="none" w:sz="0" w:space="0" w:color="auto"/>
                <w:bottom w:val="none" w:sz="0" w:space="0" w:color="auto"/>
                <w:right w:val="none" w:sz="0" w:space="0" w:color="auto"/>
              </w:divBdr>
              <w:divsChild>
                <w:div w:id="809595129">
                  <w:marLeft w:val="0"/>
                  <w:marRight w:val="0"/>
                  <w:marTop w:val="0"/>
                  <w:marBottom w:val="0"/>
                  <w:divBdr>
                    <w:top w:val="none" w:sz="0" w:space="0" w:color="auto"/>
                    <w:left w:val="none" w:sz="0" w:space="0" w:color="auto"/>
                    <w:bottom w:val="none" w:sz="0" w:space="0" w:color="auto"/>
                    <w:right w:val="none" w:sz="0" w:space="0" w:color="auto"/>
                  </w:divBdr>
                  <w:divsChild>
                    <w:div w:id="23291912">
                      <w:marLeft w:val="0"/>
                      <w:marRight w:val="0"/>
                      <w:marTop w:val="0"/>
                      <w:marBottom w:val="0"/>
                      <w:divBdr>
                        <w:top w:val="none" w:sz="0" w:space="0" w:color="auto"/>
                        <w:left w:val="none" w:sz="0" w:space="0" w:color="auto"/>
                        <w:bottom w:val="none" w:sz="0" w:space="0" w:color="auto"/>
                        <w:right w:val="none" w:sz="0" w:space="0" w:color="auto"/>
                      </w:divBdr>
                    </w:div>
                    <w:div w:id="500586756">
                      <w:marLeft w:val="0"/>
                      <w:marRight w:val="0"/>
                      <w:marTop w:val="0"/>
                      <w:marBottom w:val="0"/>
                      <w:divBdr>
                        <w:top w:val="none" w:sz="0" w:space="0" w:color="auto"/>
                        <w:left w:val="none" w:sz="0" w:space="0" w:color="auto"/>
                        <w:bottom w:val="none" w:sz="0" w:space="0" w:color="auto"/>
                        <w:right w:val="none" w:sz="0" w:space="0" w:color="auto"/>
                      </w:divBdr>
                      <w:divsChild>
                        <w:div w:id="1120875345">
                          <w:marLeft w:val="0"/>
                          <w:marRight w:val="0"/>
                          <w:marTop w:val="0"/>
                          <w:marBottom w:val="0"/>
                          <w:divBdr>
                            <w:top w:val="none" w:sz="0" w:space="0" w:color="auto"/>
                            <w:left w:val="none" w:sz="0" w:space="0" w:color="auto"/>
                            <w:bottom w:val="none" w:sz="0" w:space="0" w:color="auto"/>
                            <w:right w:val="none" w:sz="0" w:space="0" w:color="auto"/>
                          </w:divBdr>
                        </w:div>
                        <w:div w:id="128654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2042753">
      <w:bodyDiv w:val="1"/>
      <w:marLeft w:val="0"/>
      <w:marRight w:val="0"/>
      <w:marTop w:val="0"/>
      <w:marBottom w:val="0"/>
      <w:divBdr>
        <w:top w:val="none" w:sz="0" w:space="0" w:color="auto"/>
        <w:left w:val="none" w:sz="0" w:space="0" w:color="auto"/>
        <w:bottom w:val="none" w:sz="0" w:space="0" w:color="auto"/>
        <w:right w:val="none" w:sz="0" w:space="0" w:color="auto"/>
      </w:divBdr>
    </w:div>
    <w:div w:id="1951275030">
      <w:bodyDiv w:val="1"/>
      <w:marLeft w:val="0"/>
      <w:marRight w:val="0"/>
      <w:marTop w:val="0"/>
      <w:marBottom w:val="0"/>
      <w:divBdr>
        <w:top w:val="none" w:sz="0" w:space="0" w:color="auto"/>
        <w:left w:val="none" w:sz="0" w:space="0" w:color="auto"/>
        <w:bottom w:val="none" w:sz="0" w:space="0" w:color="auto"/>
        <w:right w:val="none" w:sz="0" w:space="0" w:color="auto"/>
      </w:divBdr>
    </w:div>
    <w:div w:id="20228524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Tel:809-685-402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9EB351-5A6E-4BD5-9F6D-B1124F55F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3</Pages>
  <Words>1128</Words>
  <Characters>6208</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jerfry sanchez</dc:creator>
  <cp:keywords/>
  <dc:description/>
  <cp:lastModifiedBy>Trajano Vidal Potentini Adames</cp:lastModifiedBy>
  <cp:revision>5</cp:revision>
  <dcterms:created xsi:type="dcterms:W3CDTF">2026-08-11T04:39:00Z</dcterms:created>
  <dcterms:modified xsi:type="dcterms:W3CDTF">2026-08-11T20:10:00Z</dcterms:modified>
</cp:coreProperties>
</file>