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D7C96" w14:textId="77777777" w:rsidR="0049688C" w:rsidRPr="002A2C33" w:rsidRDefault="0049688C" w:rsidP="0049688C">
      <w:pPr>
        <w:spacing w:after="0" w:line="240" w:lineRule="atLeast"/>
        <w:jc w:val="center"/>
        <w:rPr>
          <w:rFonts w:ascii="Cambria" w:hAnsi="Cambria"/>
          <w:b/>
          <w:bCs/>
          <w:sz w:val="25"/>
          <w:szCs w:val="25"/>
        </w:rPr>
      </w:pPr>
      <w:r w:rsidRPr="002A2C33">
        <w:rPr>
          <w:rFonts w:ascii="Cambria" w:hAnsi="Cambria"/>
          <w:b/>
          <w:bCs/>
          <w:sz w:val="25"/>
          <w:szCs w:val="25"/>
        </w:rPr>
        <w:t>NOTA DE PRENSA</w:t>
      </w:r>
    </w:p>
    <w:p w14:paraId="7F765913" w14:textId="77777777" w:rsidR="0049688C" w:rsidRPr="002A2C33" w:rsidRDefault="0049688C" w:rsidP="0049688C">
      <w:pPr>
        <w:spacing w:after="0" w:line="240" w:lineRule="atLeast"/>
        <w:jc w:val="center"/>
        <w:rPr>
          <w:rFonts w:ascii="Cambria" w:hAnsi="Cambria"/>
          <w:b/>
          <w:bCs/>
          <w:sz w:val="25"/>
          <w:szCs w:val="25"/>
        </w:rPr>
      </w:pPr>
    </w:p>
    <w:p w14:paraId="67115D42" w14:textId="0156816E" w:rsidR="0049688C" w:rsidRPr="002A2C33" w:rsidRDefault="0049688C" w:rsidP="0049688C">
      <w:pPr>
        <w:spacing w:after="0" w:line="240" w:lineRule="atLeast"/>
        <w:jc w:val="center"/>
        <w:rPr>
          <w:rFonts w:ascii="Cambria" w:hAnsi="Cambria"/>
          <w:b/>
          <w:bCs/>
          <w:sz w:val="25"/>
          <w:szCs w:val="25"/>
        </w:rPr>
      </w:pPr>
      <w:r w:rsidRPr="002A2C33">
        <w:rPr>
          <w:rFonts w:ascii="Cambria" w:hAnsi="Cambria"/>
          <w:b/>
          <w:bCs/>
          <w:sz w:val="25"/>
          <w:szCs w:val="25"/>
        </w:rPr>
        <w:t>CARD realiza panel especializado y presenta edición comentada del nuevo Código Penal dominicano</w:t>
      </w:r>
    </w:p>
    <w:p w14:paraId="286420F0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i/>
          <w:iCs/>
          <w:sz w:val="25"/>
          <w:szCs w:val="25"/>
        </w:rPr>
      </w:pPr>
    </w:p>
    <w:p w14:paraId="75BBFB18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eastAsia="Times New Roman" w:hAnsi="Cambria" w:cs="Calibri"/>
          <w:b/>
          <w:bCs/>
          <w:color w:val="222222"/>
          <w:kern w:val="0"/>
          <w:sz w:val="25"/>
          <w:szCs w:val="25"/>
          <w:lang w:val="es-MX"/>
          <w14:ligatures w14:val="none"/>
        </w:rPr>
        <w:t xml:space="preserve">Santo Domingo, República Dominicana, martes </w:t>
      </w:r>
      <w:r w:rsidRPr="002A2C33">
        <w:rPr>
          <w:rFonts w:ascii="Cambria" w:eastAsia="Times New Roman" w:hAnsi="Cambria" w:cs="Times New Roman"/>
          <w:b/>
          <w:bCs/>
          <w:color w:val="000000"/>
          <w:kern w:val="0"/>
          <w:sz w:val="25"/>
          <w:szCs w:val="25"/>
          <w14:ligatures w14:val="none"/>
        </w:rPr>
        <w:t>19 de octubre de 2026</w:t>
      </w:r>
      <w:r w:rsidRPr="002A2C33">
        <w:rPr>
          <w:rFonts w:ascii="Cambria" w:hAnsi="Cambria"/>
          <w:b/>
          <w:bCs/>
          <w:sz w:val="25"/>
          <w:szCs w:val="25"/>
        </w:rPr>
        <w:t xml:space="preserve">. </w:t>
      </w:r>
      <w:r w:rsidRPr="002A2C33">
        <w:rPr>
          <w:rFonts w:ascii="Cambria" w:hAnsi="Cambria"/>
          <w:sz w:val="25"/>
          <w:szCs w:val="25"/>
        </w:rPr>
        <w:t>En un escenario de reflexión jurídica, intercambio de conocimientos y compromiso con el fortalecimiento del Estado social y democrático de derecho, se celebró el panel especializado «Novedades y retos de la implementación del Código Penal: Leyes núms. 74-25 y 44-26», una iniciativa orientada a examinar las transformaciones de la legislación penal dominicana y los desafíos de su aplicación en el sistema de justicia.</w:t>
      </w:r>
    </w:p>
    <w:p w14:paraId="47661059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</w:p>
    <w:p w14:paraId="479CACF2" w14:textId="2DDE5630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hAnsi="Cambria"/>
          <w:sz w:val="25"/>
          <w:szCs w:val="25"/>
        </w:rPr>
        <w:t xml:space="preserve">La actividad, realizada </w:t>
      </w:r>
      <w:r w:rsidR="002A2C33" w:rsidRPr="002A2C33">
        <w:rPr>
          <w:rFonts w:ascii="Cambria" w:hAnsi="Cambria"/>
          <w:sz w:val="25"/>
          <w:szCs w:val="25"/>
        </w:rPr>
        <w:t>recientemente</w:t>
      </w:r>
      <w:r w:rsidRPr="002A2C33">
        <w:rPr>
          <w:rFonts w:ascii="Cambria" w:hAnsi="Cambria"/>
          <w:sz w:val="25"/>
          <w:szCs w:val="25"/>
        </w:rPr>
        <w:t xml:space="preserve"> </w:t>
      </w:r>
      <w:r w:rsidR="002A2C33" w:rsidRPr="002A2C33">
        <w:rPr>
          <w:rFonts w:ascii="Cambria" w:hAnsi="Cambria"/>
          <w:sz w:val="25"/>
          <w:szCs w:val="25"/>
        </w:rPr>
        <w:t xml:space="preserve">en modalidad </w:t>
      </w:r>
      <w:r w:rsidR="00444FF3">
        <w:rPr>
          <w:rFonts w:ascii="Cambria" w:hAnsi="Cambria"/>
          <w:color w:val="222222"/>
          <w:sz w:val="25"/>
          <w:szCs w:val="25"/>
          <w:shd w:val="clear" w:color="auto" w:fill="FFFFFF"/>
        </w:rPr>
        <w:t>híbrida</w:t>
      </w:r>
      <w:r w:rsidRPr="002A2C33">
        <w:rPr>
          <w:rFonts w:ascii="Cambria" w:hAnsi="Cambria"/>
          <w:sz w:val="25"/>
          <w:szCs w:val="25"/>
        </w:rPr>
        <w:t>, mediante la plataforma Zoom</w:t>
      </w:r>
      <w:r w:rsidR="002A2C33" w:rsidRPr="002A2C33">
        <w:rPr>
          <w:rFonts w:ascii="Cambria" w:hAnsi="Cambria"/>
          <w:sz w:val="25"/>
          <w:szCs w:val="25"/>
        </w:rPr>
        <w:t xml:space="preserve"> y transmitido por las redes sociales</w:t>
      </w:r>
      <w:r w:rsidRPr="002A2C33">
        <w:rPr>
          <w:rFonts w:ascii="Cambria" w:hAnsi="Cambria"/>
          <w:sz w:val="25"/>
          <w:szCs w:val="25"/>
        </w:rPr>
        <w:t>, convocó a profesionales del derecho a un espacio de actualización jurídica y reflexión sobre los cambios legislativos. El encuentro contó con los panelistas Trajano Potentini, Rosalba Ramos, Ámbar Moscoso, Francisco Manzano y Ysaías Tamárez, bajo la moderación de Ana Iris Polanco.</w:t>
      </w:r>
    </w:p>
    <w:p w14:paraId="31FF4EC2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</w:p>
    <w:p w14:paraId="60A3A909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sz w:val="25"/>
          <w:szCs w:val="25"/>
        </w:rPr>
      </w:pPr>
      <w:r w:rsidRPr="002A2C33">
        <w:rPr>
          <w:rFonts w:ascii="Cambria" w:hAnsi="Cambria"/>
          <w:b/>
          <w:bCs/>
          <w:sz w:val="25"/>
          <w:szCs w:val="25"/>
        </w:rPr>
        <w:t>Una nueva etapa para el derecho penal dominicano</w:t>
      </w:r>
    </w:p>
    <w:p w14:paraId="205AC6A3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sz w:val="25"/>
          <w:szCs w:val="25"/>
        </w:rPr>
      </w:pPr>
    </w:p>
    <w:p w14:paraId="0198B868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hAnsi="Cambria"/>
          <w:sz w:val="25"/>
          <w:szCs w:val="25"/>
        </w:rPr>
        <w:t>La discusión sobre el nuevo Código Penal tiene especial trascendencia por sus implicaciones para la protección de los bienes jurídicos, la persecución de las infracciones, la responsabilidad penal y el funcionamiento de las instituciones encargadas de administrar justicia. Su implementación requiere criterios interpretativos coherentes, preparación institucional y respeto a la supremacía constitucional.</w:t>
      </w:r>
    </w:p>
    <w:p w14:paraId="22F0CA48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</w:p>
    <w:p w14:paraId="5AE7241A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hAnsi="Cambria"/>
          <w:sz w:val="25"/>
          <w:szCs w:val="25"/>
        </w:rPr>
        <w:t>La transformación normativa no se agota con la aprobación de nuevas disposiciones. Demanda capacitación de jueces, fiscales, defensores públicos, abogados y demás operadores jurídicos, además de una aplicación respetuosa del principio de legalidad, la proporcionalidad de las penas, el debido proceso y la seguridad jurídica.</w:t>
      </w:r>
    </w:p>
    <w:p w14:paraId="57045A3B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sz w:val="25"/>
          <w:szCs w:val="25"/>
        </w:rPr>
      </w:pPr>
    </w:p>
    <w:p w14:paraId="7060EDBC" w14:textId="353540D1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sz w:val="25"/>
          <w:szCs w:val="25"/>
        </w:rPr>
      </w:pPr>
      <w:r w:rsidRPr="002A2C33">
        <w:rPr>
          <w:rFonts w:ascii="Cambria" w:hAnsi="Cambria"/>
          <w:b/>
          <w:bCs/>
          <w:sz w:val="25"/>
          <w:szCs w:val="25"/>
        </w:rPr>
        <w:t>Un panel de voces especializadas</w:t>
      </w:r>
    </w:p>
    <w:p w14:paraId="6D9F6FB3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sz w:val="25"/>
          <w:szCs w:val="25"/>
        </w:rPr>
      </w:pPr>
    </w:p>
    <w:p w14:paraId="518D2701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hAnsi="Cambria"/>
          <w:sz w:val="25"/>
          <w:szCs w:val="25"/>
        </w:rPr>
        <w:t xml:space="preserve">Trajano Potentini, Rosalba Ramos, Ámbar Moscoso, Francisco Manzano y Ysaías Tamárez integraron el panel convocado para abordar las novedades y los retos de la reforma penal. La moderación estuvo a cargo de Ana Iris Polanco. La presencia de </w:t>
      </w:r>
      <w:r w:rsidRPr="002A2C33">
        <w:rPr>
          <w:rFonts w:ascii="Cambria" w:hAnsi="Cambria"/>
          <w:sz w:val="25"/>
          <w:szCs w:val="25"/>
        </w:rPr>
        <w:lastRenderedPageBreak/>
        <w:t>estos profesionales permitió reunir diferentes perspectivas del ejercicio jurídico en una misma jornada de discusión académica.</w:t>
      </w:r>
    </w:p>
    <w:p w14:paraId="78290C63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</w:p>
    <w:p w14:paraId="5D066E23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i/>
          <w:iCs/>
          <w:sz w:val="25"/>
          <w:szCs w:val="25"/>
        </w:rPr>
      </w:pPr>
      <w:r w:rsidRPr="002A2C33">
        <w:rPr>
          <w:rFonts w:ascii="Cambria" w:hAnsi="Cambria"/>
          <w:b/>
          <w:bCs/>
          <w:i/>
          <w:iCs/>
          <w:sz w:val="25"/>
          <w:szCs w:val="25"/>
        </w:rPr>
        <w:t>La jornada académica incluyó la presentación y puesta en circulación de una edición comentada del Código Penal de la República Dominicana.</w:t>
      </w:r>
    </w:p>
    <w:p w14:paraId="5ABC1359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i/>
          <w:iCs/>
          <w:sz w:val="25"/>
          <w:szCs w:val="25"/>
        </w:rPr>
      </w:pPr>
    </w:p>
    <w:p w14:paraId="329D44E0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hAnsi="Cambria"/>
          <w:sz w:val="25"/>
          <w:szCs w:val="25"/>
        </w:rPr>
        <w:t>Uno de los componentes centrales del encuentro fue la presentación y puesta en circulación de la nueva edición 2026 del «Código Penal de la República Dominicana Comentado», publicación de Ediciones Librería Jurídica Global, perteneciente a su colección legislativa.</w:t>
      </w:r>
    </w:p>
    <w:p w14:paraId="38E07C1F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</w:p>
    <w:p w14:paraId="56681493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hAnsi="Cambria"/>
          <w:sz w:val="25"/>
          <w:szCs w:val="25"/>
        </w:rPr>
        <w:t>La obra incorpora el texto de la legislación penal y su modificación, acompañado de análisis doctrinales e introductorios y referencias jurisprudenciales relevantes para su comprensión. En la publicación figuran trabajos de Trajano Potentini, Francisco Manzano, Rosalba Ramos y Ysaías Tamárez. Se trata de un recurso de consulta dirigido a abogados, jueces, fiscales, docentes, investigadores y estudiantes de derecho.</w:t>
      </w:r>
    </w:p>
    <w:p w14:paraId="6F1C2CBF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</w:p>
    <w:p w14:paraId="71EA2504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sz w:val="25"/>
          <w:szCs w:val="25"/>
        </w:rPr>
      </w:pPr>
      <w:r w:rsidRPr="002A2C33">
        <w:rPr>
          <w:rFonts w:ascii="Cambria" w:hAnsi="Cambria"/>
          <w:b/>
          <w:bCs/>
          <w:sz w:val="25"/>
          <w:szCs w:val="25"/>
        </w:rPr>
        <w:t>Los desafíos de la implementación</w:t>
      </w:r>
    </w:p>
    <w:p w14:paraId="033D6FC7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sz w:val="25"/>
          <w:szCs w:val="25"/>
        </w:rPr>
      </w:pPr>
    </w:p>
    <w:p w14:paraId="3E9AED95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hAnsi="Cambria"/>
          <w:sz w:val="25"/>
          <w:szCs w:val="25"/>
        </w:rPr>
        <w:t>La aplicación del nuevo marco penal plantea interrogantes sobre la interpretación de tipos penales, la vigencia temporal de las normas, las garantías procesales, la protección de las víctimas y el cumplimiento de las obligaciones internacionales en materia de derechos humanos. Su eficacia dependerá tanto de la calidad de las disposiciones como de la capacidad institucional para aplicarlas de forma uniforme y constitucionalmente adecuada.</w:t>
      </w:r>
    </w:p>
    <w:p w14:paraId="00E2EB3C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</w:p>
    <w:p w14:paraId="589952F5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hAnsi="Cambria"/>
          <w:sz w:val="25"/>
          <w:szCs w:val="25"/>
        </w:rPr>
        <w:t>Una justicia moderna debe equilibrar la obligación del Estado de prevenir y sancionar las infracciones con la protección de la dignidad humana. Las víctimas necesitan respuestas oportunas y efectivas; las personas investigadas o procesadas conservan, por su parte, el derecho a un procedimiento justo y a todas las garantías reconocidas por la Constitución.</w:t>
      </w:r>
    </w:p>
    <w:p w14:paraId="3A638E08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</w:p>
    <w:p w14:paraId="0D105514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sz w:val="25"/>
          <w:szCs w:val="25"/>
        </w:rPr>
      </w:pPr>
      <w:r w:rsidRPr="002A2C33">
        <w:rPr>
          <w:rFonts w:ascii="Cambria" w:hAnsi="Cambria"/>
          <w:b/>
          <w:bCs/>
          <w:sz w:val="25"/>
          <w:szCs w:val="25"/>
        </w:rPr>
        <w:t>Difusión digital y acceso abierto</w:t>
      </w:r>
    </w:p>
    <w:p w14:paraId="746D3987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sz w:val="25"/>
          <w:szCs w:val="25"/>
        </w:rPr>
      </w:pPr>
    </w:p>
    <w:p w14:paraId="469C8C19" w14:textId="783397D6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hAnsi="Cambria"/>
          <w:sz w:val="25"/>
          <w:szCs w:val="25"/>
        </w:rPr>
        <w:t>El encuentro se realizó virtualmente por Zoom y su convocatoria contempló transmisión en vivo a través de Facebook, YouTube e Instagram. En el material de promoción figuraron l</w:t>
      </w:r>
      <w:r w:rsidR="002A2C33">
        <w:rPr>
          <w:rFonts w:ascii="Cambria" w:hAnsi="Cambria"/>
          <w:sz w:val="25"/>
          <w:szCs w:val="25"/>
        </w:rPr>
        <w:t>o</w:t>
      </w:r>
      <w:r w:rsidRPr="002A2C33">
        <w:rPr>
          <w:rFonts w:ascii="Cambria" w:hAnsi="Cambria"/>
          <w:sz w:val="25"/>
          <w:szCs w:val="25"/>
        </w:rPr>
        <w:t xml:space="preserve">s </w:t>
      </w:r>
      <w:r w:rsidR="002A2C33">
        <w:rPr>
          <w:rFonts w:ascii="Cambria" w:hAnsi="Cambria"/>
          <w:sz w:val="25"/>
          <w:szCs w:val="25"/>
        </w:rPr>
        <w:t>auspicios</w:t>
      </w:r>
      <w:r w:rsidRPr="002A2C33">
        <w:rPr>
          <w:rFonts w:ascii="Cambria" w:hAnsi="Cambria"/>
          <w:sz w:val="25"/>
          <w:szCs w:val="25"/>
        </w:rPr>
        <w:t xml:space="preserve"> del Colegio de Abogados de la República </w:t>
      </w:r>
      <w:r w:rsidRPr="002A2C33">
        <w:rPr>
          <w:rFonts w:ascii="Cambria" w:hAnsi="Cambria"/>
          <w:sz w:val="25"/>
          <w:szCs w:val="25"/>
        </w:rPr>
        <w:lastRenderedPageBreak/>
        <w:t>Dominicana, la Escuela Nacional de Abogados, la Fundación Justicia y Transparencia, Librería Jurídica Global, Temis-IA y el Grupo Servi Marketing Interactivo.</w:t>
      </w:r>
    </w:p>
    <w:p w14:paraId="7620D0E5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</w:p>
    <w:p w14:paraId="7EB77EE2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hAnsi="Cambria"/>
          <w:sz w:val="25"/>
          <w:szCs w:val="25"/>
        </w:rPr>
        <w:t>También se incluyeron como canales de difusión Impacto Noticioso, El Sentido Común, El Veedor Digital, La Crónica Viral y SMI Noticias. La circulación de contenidos jurídicos en plataformas digitales contribuye a acercar el debate especializado a estudiantes, profesionales y ciudadanos interesados en comprender el alcance de las reformas.</w:t>
      </w:r>
    </w:p>
    <w:p w14:paraId="26A93F47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</w:p>
    <w:p w14:paraId="608BA234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sz w:val="25"/>
          <w:szCs w:val="25"/>
        </w:rPr>
      </w:pPr>
      <w:r w:rsidRPr="002A2C33">
        <w:rPr>
          <w:rFonts w:ascii="Cambria" w:hAnsi="Cambria"/>
          <w:b/>
          <w:bCs/>
          <w:sz w:val="25"/>
          <w:szCs w:val="25"/>
        </w:rPr>
        <w:t>La formación jurídica como compromiso permanente</w:t>
      </w:r>
    </w:p>
    <w:p w14:paraId="39965297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sz w:val="25"/>
          <w:szCs w:val="25"/>
        </w:rPr>
      </w:pPr>
    </w:p>
    <w:p w14:paraId="67DA99B4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hAnsi="Cambria"/>
          <w:sz w:val="25"/>
          <w:szCs w:val="25"/>
        </w:rPr>
        <w:t>El derecho penal evoluciona al ritmo de las transformaciones sociales, tecnológicas e institucionales. Por ello, la educación continua y la producción doctrinal resultan indispensables para elevar la calidad de las decisiones judiciales, la representación técnica y la investigación jurídica. La presentación de una obra comentada junto a un panel especializado enlaza el estudio de la ley con la discusión de su aplicación práctica.</w:t>
      </w:r>
    </w:p>
    <w:p w14:paraId="1BFC03B9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</w:p>
    <w:p w14:paraId="48476F0C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sz w:val="25"/>
          <w:szCs w:val="25"/>
        </w:rPr>
      </w:pPr>
      <w:r w:rsidRPr="002A2C33">
        <w:rPr>
          <w:rFonts w:ascii="Cambria" w:hAnsi="Cambria"/>
          <w:b/>
          <w:bCs/>
          <w:sz w:val="25"/>
          <w:szCs w:val="25"/>
        </w:rPr>
        <w:t>Una reflexión que trasciende el encuentro</w:t>
      </w:r>
    </w:p>
    <w:p w14:paraId="41D609FD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b/>
          <w:bCs/>
          <w:sz w:val="25"/>
          <w:szCs w:val="25"/>
        </w:rPr>
      </w:pPr>
    </w:p>
    <w:p w14:paraId="777C0555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hAnsi="Cambria"/>
          <w:sz w:val="25"/>
          <w:szCs w:val="25"/>
        </w:rPr>
        <w:t>La celebración del panel aporta al debate jurídico nacional en un momento que exige información rigurosa y análisis responsables. La reforma penal no concluye con la promulgación de una ley: su alcance se manifiesta en la manera en que las instituciones la interpretan, los profesionales la aplican y la sociedad experimenta sus efectos.</w:t>
      </w:r>
    </w:p>
    <w:p w14:paraId="73BCCE38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</w:p>
    <w:p w14:paraId="6BE5963F" w14:textId="77777777" w:rsidR="0049688C" w:rsidRPr="002A2C33" w:rsidRDefault="0049688C" w:rsidP="0049688C">
      <w:pPr>
        <w:spacing w:after="0" w:line="240" w:lineRule="atLeast"/>
        <w:jc w:val="both"/>
        <w:rPr>
          <w:rFonts w:ascii="Cambria" w:hAnsi="Cambria"/>
          <w:sz w:val="25"/>
          <w:szCs w:val="25"/>
        </w:rPr>
      </w:pPr>
      <w:r w:rsidRPr="002A2C33">
        <w:rPr>
          <w:rFonts w:ascii="Cambria" w:hAnsi="Cambria"/>
          <w:sz w:val="25"/>
          <w:szCs w:val="25"/>
        </w:rPr>
        <w:t>La calidad de la justicia no se mide únicamente por la severidad de las sanciones, sino también por su capacidad de proteger derechos, garantizar procesos justos y ofrecer respuestas efectivas. Construir una justicia moderna requiere normas claras, instituciones fortalecidas, profesionales preparados y un compromiso permanente con la dignidad humana.</w:t>
      </w:r>
    </w:p>
    <w:p w14:paraId="2F85DE86" w14:textId="77777777" w:rsidR="00382B5A" w:rsidRPr="002A2C33" w:rsidRDefault="00382B5A" w:rsidP="0049688C">
      <w:pPr>
        <w:spacing w:after="0" w:line="240" w:lineRule="atLeast"/>
        <w:jc w:val="both"/>
        <w:rPr>
          <w:rFonts w:ascii="Cambria" w:eastAsia="Times New Roman" w:hAnsi="Cambria" w:cs="Times New Roman"/>
          <w:kern w:val="0"/>
          <w:sz w:val="25"/>
          <w:szCs w:val="25"/>
          <w:lang w:eastAsia="es-DO"/>
          <w14:ligatures w14:val="none"/>
        </w:rPr>
      </w:pPr>
    </w:p>
    <w:p w14:paraId="3DB67A85" w14:textId="77777777" w:rsidR="00382B5A" w:rsidRPr="002A2C33" w:rsidRDefault="00382B5A" w:rsidP="0049688C">
      <w:pPr>
        <w:spacing w:after="0" w:line="240" w:lineRule="atLeast"/>
        <w:jc w:val="center"/>
        <w:rPr>
          <w:rFonts w:ascii="Cambria" w:hAnsi="Cambria"/>
          <w:sz w:val="25"/>
          <w:szCs w:val="25"/>
        </w:rPr>
      </w:pPr>
      <w:r w:rsidRPr="002A2C33">
        <w:rPr>
          <w:rFonts w:ascii="Cambria" w:eastAsia="Times New Roman" w:hAnsi="Cambria" w:cs="Calibri"/>
          <w:b/>
          <w:bCs/>
          <w:sz w:val="25"/>
          <w:szCs w:val="25"/>
        </w:rPr>
        <w:t>DEPARTAMENTO DE COMUNICACIONES</w:t>
      </w:r>
    </w:p>
    <w:p w14:paraId="1C8710DE" w14:textId="77777777" w:rsidR="00382B5A" w:rsidRPr="002A2C33" w:rsidRDefault="00382B5A" w:rsidP="0049688C">
      <w:pPr>
        <w:spacing w:after="0" w:line="240" w:lineRule="atLeast"/>
        <w:rPr>
          <w:rFonts w:ascii="Cambria" w:hAnsi="Cambria"/>
          <w:sz w:val="25"/>
          <w:szCs w:val="25"/>
        </w:rPr>
      </w:pPr>
    </w:p>
    <w:sectPr w:rsidR="00382B5A" w:rsidRPr="002A2C33" w:rsidSect="00A237B1">
      <w:headerReference w:type="default" r:id="rId7"/>
      <w:footerReference w:type="default" r:id="rId8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E1C14" w14:textId="77777777" w:rsidR="008B7D7F" w:rsidRDefault="008B7D7F" w:rsidP="007867B1">
      <w:pPr>
        <w:spacing w:after="0" w:line="240" w:lineRule="auto"/>
      </w:pPr>
      <w:r>
        <w:separator/>
      </w:r>
    </w:p>
  </w:endnote>
  <w:endnote w:type="continuationSeparator" w:id="0">
    <w:p w14:paraId="38B9B7CB" w14:textId="77777777" w:rsidR="008B7D7F" w:rsidRDefault="008B7D7F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FEA2" w14:textId="046AF278" w:rsidR="00CA13C5" w:rsidRDefault="00492779" w:rsidP="00882A0A">
    <w:r>
      <w:rPr>
        <w:noProof/>
        <w:lang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Dgo., </w:t>
    </w:r>
    <w:r>
      <w:rPr>
        <w:rFonts w:ascii="Arial" w:hAnsi="Arial" w:cs="Arial"/>
        <w:sz w:val="18"/>
        <w:szCs w:val="18"/>
      </w:rPr>
      <w:tab/>
      <w:t xml:space="preserve">  Cayetano Germosén, Sector Atala,</w:t>
    </w:r>
    <w:r w:rsidR="00882A0A">
      <w:rPr>
        <w:rFonts w:ascii="Arial" w:hAnsi="Arial" w:cs="Arial"/>
        <w:sz w:val="18"/>
        <w:szCs w:val="18"/>
      </w:rPr>
      <w:tab/>
      <w:t xml:space="preserve">                      Sto. Dgo.,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Dgo., D.N.,R.D.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83BFC" w14:textId="77777777" w:rsidR="008B7D7F" w:rsidRDefault="008B7D7F" w:rsidP="007867B1">
      <w:pPr>
        <w:spacing w:after="0" w:line="240" w:lineRule="auto"/>
      </w:pPr>
      <w:r>
        <w:separator/>
      </w:r>
    </w:p>
  </w:footnote>
  <w:footnote w:type="continuationSeparator" w:id="0">
    <w:p w14:paraId="4E877CE9" w14:textId="77777777" w:rsidR="008B7D7F" w:rsidRDefault="008B7D7F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4320" w14:textId="758BF7F8" w:rsidR="007867B1" w:rsidRPr="008A3702" w:rsidRDefault="00000000" w:rsidP="009D7DF7">
    <w:pPr>
      <w:pStyle w:val="Encabezado"/>
      <w:ind w:right="-660"/>
      <w:rPr>
        <w:rFonts w:ascii="Arial" w:hAnsi="Arial" w:cs="Arial"/>
        <w:b/>
        <w:bCs/>
        <w:color w:val="365F91"/>
        <w:sz w:val="28"/>
        <w:szCs w:val="28"/>
      </w:rPr>
    </w:pPr>
    <w:sdt>
      <w:sdtPr>
        <w:rPr>
          <w:rFonts w:ascii="Arial" w:hAnsi="Arial" w:cs="Arial"/>
          <w:b/>
          <w:bCs/>
          <w:color w:val="365F91"/>
          <w:sz w:val="28"/>
          <w:szCs w:val="28"/>
        </w:rPr>
        <w:id w:val="178012092"/>
        <w:docPartObj>
          <w:docPartGallery w:val="Page Numbers (Margins)"/>
          <w:docPartUnique/>
        </w:docPartObj>
      </w:sdtPr>
      <w:sdtContent>
        <w:r w:rsidR="00382B5A" w:rsidRPr="00382B5A">
          <w:rPr>
            <w:rFonts w:ascii="Arial" w:hAnsi="Arial" w:cs="Arial"/>
            <w:b/>
            <w:bCs/>
            <w:noProof/>
            <w:color w:val="365F91"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27942C39" wp14:editId="59EAB5C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124192585" name="Rectángu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71554E" w14:textId="77777777" w:rsidR="00382B5A" w:rsidRDefault="00382B5A">
                              <w:pPr>
                                <w:pStyle w:val="Piedepgin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lang w:val="es-ES"/>
                                </w:rPr>
                                <w:t>Página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  <w:lang w:val="es-ES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7942C39" id="Rectángulo 4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7A71554E" w14:textId="77777777" w:rsidR="00382B5A" w:rsidRDefault="00382B5A">
                        <w:pPr>
                          <w:pStyle w:val="Piedepgin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lang w:val="es-ES"/>
                          </w:rPr>
                          <w:t>Página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  <w:lang w:val="es-ES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D7DF7" w:rsidRPr="008A3702">
      <w:rPr>
        <w:rFonts w:ascii="Arial" w:hAnsi="Arial" w:cs="Arial"/>
        <w:b/>
        <w:bCs/>
        <w:noProof/>
        <w:color w:val="4F81BD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6379637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 w:rsidRPr="008A3702">
      <w:rPr>
        <w:rFonts w:ascii="Arial" w:hAnsi="Arial" w:cs="Arial"/>
        <w:b/>
        <w:bCs/>
        <w:color w:val="365F91"/>
        <w:sz w:val="28"/>
        <w:szCs w:val="28"/>
      </w:rPr>
      <w:t xml:space="preserve">   </w:t>
    </w:r>
    <w:r w:rsidR="007867B1" w:rsidRPr="008A3702">
      <w:rPr>
        <w:rFonts w:ascii="Arial" w:hAnsi="Arial" w:cs="Arial"/>
        <w:b/>
        <w:bCs/>
        <w:color w:val="365F91"/>
        <w:sz w:val="28"/>
        <w:szCs w:val="28"/>
      </w:rPr>
      <w:t>COLEGIO DE ABOGADOS DE LA REPÚBLICA DOMINICANA</w:t>
    </w:r>
  </w:p>
  <w:p w14:paraId="1FAD499A" w14:textId="35D23033" w:rsidR="007867B1" w:rsidRDefault="00A1071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     </w:t>
    </w:r>
    <w:r w:rsidR="007867B1"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321D0AE0" w14:textId="77777777" w:rsidR="007867B1" w:rsidRPr="00882A0A" w:rsidRDefault="007867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B1"/>
    <w:rsid w:val="0001793B"/>
    <w:rsid w:val="000241C3"/>
    <w:rsid w:val="00074285"/>
    <w:rsid w:val="000A7DE4"/>
    <w:rsid w:val="00107728"/>
    <w:rsid w:val="0012074D"/>
    <w:rsid w:val="001422EC"/>
    <w:rsid w:val="00146B64"/>
    <w:rsid w:val="00152A9A"/>
    <w:rsid w:val="00171745"/>
    <w:rsid w:val="00180850"/>
    <w:rsid w:val="00187D08"/>
    <w:rsid w:val="00193C54"/>
    <w:rsid w:val="001E378D"/>
    <w:rsid w:val="002205BB"/>
    <w:rsid w:val="0029421D"/>
    <w:rsid w:val="002A2C33"/>
    <w:rsid w:val="002A4D41"/>
    <w:rsid w:val="002B62D0"/>
    <w:rsid w:val="00344CF6"/>
    <w:rsid w:val="0035754E"/>
    <w:rsid w:val="0036772B"/>
    <w:rsid w:val="00382B5A"/>
    <w:rsid w:val="003A1B38"/>
    <w:rsid w:val="003F71E4"/>
    <w:rsid w:val="004014BB"/>
    <w:rsid w:val="00403479"/>
    <w:rsid w:val="00427C16"/>
    <w:rsid w:val="00444FF3"/>
    <w:rsid w:val="0048347D"/>
    <w:rsid w:val="00492779"/>
    <w:rsid w:val="0049688C"/>
    <w:rsid w:val="00501047"/>
    <w:rsid w:val="005748D9"/>
    <w:rsid w:val="005C026D"/>
    <w:rsid w:val="00647439"/>
    <w:rsid w:val="006937D4"/>
    <w:rsid w:val="006A7B9B"/>
    <w:rsid w:val="006B4CCE"/>
    <w:rsid w:val="006C10E5"/>
    <w:rsid w:val="00711585"/>
    <w:rsid w:val="007404F8"/>
    <w:rsid w:val="00750B5B"/>
    <w:rsid w:val="00761437"/>
    <w:rsid w:val="00763CE9"/>
    <w:rsid w:val="007867B1"/>
    <w:rsid w:val="007B6403"/>
    <w:rsid w:val="007E1281"/>
    <w:rsid w:val="00827606"/>
    <w:rsid w:val="00827ABA"/>
    <w:rsid w:val="0084429B"/>
    <w:rsid w:val="00870FC1"/>
    <w:rsid w:val="00882A0A"/>
    <w:rsid w:val="008A3702"/>
    <w:rsid w:val="008B004B"/>
    <w:rsid w:val="008B04CF"/>
    <w:rsid w:val="008B7D7F"/>
    <w:rsid w:val="008C5853"/>
    <w:rsid w:val="009146A3"/>
    <w:rsid w:val="00917DDD"/>
    <w:rsid w:val="009735C5"/>
    <w:rsid w:val="00974500"/>
    <w:rsid w:val="00975353"/>
    <w:rsid w:val="00983084"/>
    <w:rsid w:val="00995536"/>
    <w:rsid w:val="009C5EB9"/>
    <w:rsid w:val="009D7DF7"/>
    <w:rsid w:val="009E6240"/>
    <w:rsid w:val="009F00B7"/>
    <w:rsid w:val="00A1064F"/>
    <w:rsid w:val="00A10711"/>
    <w:rsid w:val="00A237B1"/>
    <w:rsid w:val="00A4452A"/>
    <w:rsid w:val="00A47935"/>
    <w:rsid w:val="00A56526"/>
    <w:rsid w:val="00A67497"/>
    <w:rsid w:val="00B03D9E"/>
    <w:rsid w:val="00BB0180"/>
    <w:rsid w:val="00C93933"/>
    <w:rsid w:val="00CA13C5"/>
    <w:rsid w:val="00CA78D8"/>
    <w:rsid w:val="00CB329D"/>
    <w:rsid w:val="00CC5EC9"/>
    <w:rsid w:val="00CF21D2"/>
    <w:rsid w:val="00D50A76"/>
    <w:rsid w:val="00D9792B"/>
    <w:rsid w:val="00DD44F4"/>
    <w:rsid w:val="00DE6D13"/>
    <w:rsid w:val="00E92BBC"/>
    <w:rsid w:val="00F210AB"/>
    <w:rsid w:val="00F27F52"/>
    <w:rsid w:val="00F6030C"/>
    <w:rsid w:val="00F87713"/>
    <w:rsid w:val="00F97D55"/>
    <w:rsid w:val="00FA194F"/>
    <w:rsid w:val="00FB5E95"/>
    <w:rsid w:val="00FE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B5A"/>
    <w:rPr>
      <w:lang w:val="es-DO"/>
    </w:rPr>
  </w:style>
  <w:style w:type="paragraph" w:styleId="Ttulo1">
    <w:name w:val="heading 1"/>
    <w:basedOn w:val="Normal"/>
    <w:next w:val="Normal"/>
    <w:link w:val="Ttulo1Car"/>
    <w:uiPriority w:val="9"/>
    <w:qFormat/>
    <w:rsid w:val="005010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A37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  <w:rPr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  <w:rPr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5010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_tradnl"/>
    </w:rPr>
  </w:style>
  <w:style w:type="paragraph" w:styleId="NormalWeb">
    <w:name w:val="Normal (Web)"/>
    <w:basedOn w:val="Normal"/>
    <w:uiPriority w:val="99"/>
    <w:unhideWhenUsed/>
    <w:rsid w:val="00501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DO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A370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6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8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75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9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99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0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3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1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16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05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864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7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9759842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0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535F7-1BE9-45ED-8821-EE459AD34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904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Vidal Potentini Adames</cp:lastModifiedBy>
  <cp:revision>5</cp:revision>
  <dcterms:created xsi:type="dcterms:W3CDTF">2026-10-19T20:25:00Z</dcterms:created>
  <dcterms:modified xsi:type="dcterms:W3CDTF">2026-10-19T21:28:00Z</dcterms:modified>
</cp:coreProperties>
</file>