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B593" w14:textId="77777777" w:rsidR="00ED7418" w:rsidRPr="00ED7418" w:rsidRDefault="00ED7418" w:rsidP="00ED7418">
      <w:pPr>
        <w:spacing w:after="0"/>
        <w:jc w:val="center"/>
        <w:rPr>
          <w:rFonts w:ascii="Calibri" w:eastAsia="Times New Roman" w:hAnsi="Calibri" w:cs="Calibri"/>
          <w:lang w:val="es-DO" w:eastAsia="es-DO"/>
        </w:rPr>
      </w:pPr>
      <w:r w:rsidRPr="00ED7418">
        <w:rPr>
          <w:rFonts w:ascii="Cambria" w:eastAsia="Times New Roman" w:hAnsi="Cambria" w:cs="Calibri"/>
          <w:b/>
          <w:bCs/>
          <w:color w:val="2E2E2E"/>
          <w:sz w:val="26"/>
          <w:szCs w:val="26"/>
          <w:lang w:val="es-DO" w:eastAsia="es-DO"/>
        </w:rPr>
        <w:t>NOTA DE PRENSA</w:t>
      </w:r>
    </w:p>
    <w:p w14:paraId="4B157FB3" w14:textId="5A5734FF" w:rsidR="00ED7418" w:rsidRPr="00ED7418" w:rsidRDefault="00ED7418" w:rsidP="00ED7418">
      <w:pPr>
        <w:spacing w:after="0"/>
        <w:jc w:val="center"/>
        <w:rPr>
          <w:rFonts w:ascii="Calibri" w:eastAsia="Times New Roman" w:hAnsi="Calibri" w:cs="Calibri"/>
          <w:lang w:val="es-DO" w:eastAsia="es-DO"/>
        </w:rPr>
      </w:pPr>
    </w:p>
    <w:p w14:paraId="12D0D1D1" w14:textId="0E6A330F" w:rsidR="00ED7418" w:rsidRPr="00ED7418" w:rsidRDefault="00ED7418" w:rsidP="00ED7418">
      <w:pPr>
        <w:jc w:val="center"/>
        <w:rPr>
          <w:rFonts w:ascii="Cambria" w:eastAsia="Times New Roman" w:hAnsi="Cambria" w:cs="Calibri"/>
          <w:b/>
          <w:bCs/>
          <w:sz w:val="26"/>
          <w:szCs w:val="26"/>
          <w:lang w:val="es-DO" w:eastAsia="es-DO"/>
        </w:rPr>
      </w:pPr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CARD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anuncia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sometimiento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de amparo contra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CNM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por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</w:t>
      </w:r>
      <w:proofErr w:type="spellStart"/>
      <w:r w:rsidR="00F974DA" w:rsidRPr="00F974DA">
        <w:rPr>
          <w:rFonts w:ascii="Cambria" w:hAnsi="Cambria" w:cs="Arial"/>
          <w:b/>
          <w:bCs/>
          <w:color w:val="1F1F1F"/>
          <w:sz w:val="26"/>
          <w:szCs w:val="26"/>
          <w:shd w:val="clear" w:color="auto" w:fill="FFFFFF"/>
        </w:rPr>
        <w:t>violación</w:t>
      </w:r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a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la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constitución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al no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reestructurar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y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seleccionar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los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nuevos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jueces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de la SCJ</w:t>
      </w:r>
    </w:p>
    <w:p w14:paraId="700E05F5" w14:textId="3DC155FF" w:rsidR="00ED7418" w:rsidRPr="00ED7418" w:rsidRDefault="00ED7418" w:rsidP="00ED7418">
      <w:pPr>
        <w:jc w:val="both"/>
        <w:rPr>
          <w:rFonts w:ascii="Calibri" w:eastAsia="Times New Roman" w:hAnsi="Calibri" w:cs="Calibri"/>
          <w:b/>
          <w:bCs/>
          <w:lang w:val="es-DO" w:eastAsia="es-DO"/>
        </w:rPr>
      </w:pPr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El </w:t>
      </w:r>
      <w:r w:rsidR="00F974DA" w:rsidRPr="00F974DA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CARD</w:t>
      </w:r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considera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inminente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una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reforma</w:t>
      </w:r>
      <w:proofErr w:type="spellEnd"/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 de la </w:t>
      </w:r>
      <w:r w:rsidR="00F974DA" w:rsidRPr="00F974DA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 xml:space="preserve">Suprema Corte de </w:t>
      </w:r>
      <w:r w:rsidRPr="00ED7418">
        <w:rPr>
          <w:rFonts w:ascii="Cambria" w:eastAsia="Times New Roman" w:hAnsi="Cambria" w:cs="Calibri"/>
          <w:b/>
          <w:bCs/>
          <w:sz w:val="26"/>
          <w:szCs w:val="26"/>
          <w:lang w:eastAsia="es-DO"/>
        </w:rPr>
        <w:t>Justicia</w:t>
      </w:r>
    </w:p>
    <w:p w14:paraId="65076955" w14:textId="0DA4D725" w:rsidR="00ED7418" w:rsidRPr="00ED7418" w:rsidRDefault="00ED7418" w:rsidP="00ED7418">
      <w:pPr>
        <w:jc w:val="both"/>
        <w:rPr>
          <w:rFonts w:ascii="Calibri" w:eastAsia="Times New Roman" w:hAnsi="Calibri" w:cs="Calibri"/>
          <w:lang w:val="es-DO" w:eastAsia="es-DO"/>
        </w:rPr>
      </w:pPr>
      <w:r w:rsidRPr="00ED7418">
        <w:rPr>
          <w:rFonts w:ascii="Cambria" w:eastAsia="Times New Roman" w:hAnsi="Cambria" w:cs="Calibri"/>
          <w:b/>
          <w:bCs/>
          <w:sz w:val="26"/>
          <w:szCs w:val="26"/>
          <w:lang w:val="es-MX" w:eastAsia="es-DO"/>
        </w:rPr>
        <w:t xml:space="preserve">Santo Domingo, República Dominicana, </w:t>
      </w:r>
      <w:r>
        <w:rPr>
          <w:rFonts w:ascii="Cambria" w:eastAsia="Times New Roman" w:hAnsi="Cambria" w:cs="Calibri"/>
          <w:b/>
          <w:bCs/>
          <w:sz w:val="26"/>
          <w:szCs w:val="26"/>
          <w:lang w:val="es-MX" w:eastAsia="es-DO"/>
        </w:rPr>
        <w:t>1</w:t>
      </w:r>
      <w:r w:rsidRPr="00ED7418">
        <w:rPr>
          <w:rFonts w:ascii="Cambria" w:eastAsia="Times New Roman" w:hAnsi="Cambria" w:cs="Calibri"/>
          <w:b/>
          <w:bCs/>
          <w:sz w:val="26"/>
          <w:szCs w:val="26"/>
          <w:lang w:val="es-DO" w:eastAsia="es-DO"/>
        </w:rPr>
        <w:t xml:space="preserve">3 de </w:t>
      </w:r>
      <w:r>
        <w:rPr>
          <w:rFonts w:ascii="Cambria" w:eastAsia="Times New Roman" w:hAnsi="Cambria" w:cs="Calibri"/>
          <w:b/>
          <w:bCs/>
          <w:sz w:val="26"/>
          <w:szCs w:val="26"/>
          <w:lang w:val="es-DO" w:eastAsia="es-DO"/>
        </w:rPr>
        <w:t>abril</w:t>
      </w:r>
      <w:r w:rsidRPr="00ED7418">
        <w:rPr>
          <w:rFonts w:ascii="Cambria" w:eastAsia="Times New Roman" w:hAnsi="Cambria" w:cs="Calibri"/>
          <w:b/>
          <w:bCs/>
          <w:sz w:val="26"/>
          <w:szCs w:val="26"/>
          <w:lang w:val="es-DO" w:eastAsia="es-DO"/>
        </w:rPr>
        <w:t xml:space="preserve"> de 2026.–</w:t>
      </w:r>
      <w:r w:rsidRPr="00ED7418">
        <w:rPr>
          <w:rFonts w:ascii="Cambria" w:eastAsia="Times New Roman" w:hAnsi="Cambria" w:cs="Calibri"/>
          <w:sz w:val="26"/>
          <w:szCs w:val="26"/>
          <w:lang w:val="es-DO" w:eastAsia="es-DO"/>
        </w:rPr>
        <w:t xml:space="preserve"> </w:t>
      </w:r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El Colegio de Abogados de la República Dominicana (CARD)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anunció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próximo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miércoles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a las 10:00 de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mañana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depositará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un amparo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cumplimiento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ante la Suprema Corte de Justicia,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espacio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aloja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Secretaría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del Consejo Nacional de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Magistratura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con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propósito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exigir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evaluación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reestructuración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y eventual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renovación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los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jueces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alta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corte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cuyo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período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constitucional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ya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habría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vencido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.</w:t>
      </w:r>
    </w:p>
    <w:p w14:paraId="6860E048" w14:textId="77777777" w:rsidR="00ED7418" w:rsidRPr="00ED7418" w:rsidRDefault="00ED7418" w:rsidP="00ED7418">
      <w:pPr>
        <w:jc w:val="both"/>
        <w:rPr>
          <w:rFonts w:ascii="Calibri" w:eastAsia="Times New Roman" w:hAnsi="Calibri" w:cs="Calibri"/>
          <w:lang w:val="es-DO" w:eastAsia="es-DO"/>
        </w:rPr>
      </w:pPr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información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fue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ofrecida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por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Trajano Potentini,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quien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explicó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acción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será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interpuesta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contra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Consejo Nacional de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Magistratura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persona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su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presidente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Luis Abinader, al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considerar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existe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una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actitud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inercia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y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desatención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institucional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frente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a un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mandato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constitucional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según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afirmó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ya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ha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expirado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.</w:t>
      </w:r>
    </w:p>
    <w:p w14:paraId="67891467" w14:textId="77777777" w:rsidR="00ED7418" w:rsidRPr="00ED7418" w:rsidRDefault="00ED7418" w:rsidP="00ED7418">
      <w:pPr>
        <w:jc w:val="both"/>
        <w:rPr>
          <w:rFonts w:ascii="Calibri" w:eastAsia="Times New Roman" w:hAnsi="Calibri" w:cs="Calibri"/>
          <w:lang w:val="es-DO" w:eastAsia="es-DO"/>
        </w:rPr>
      </w:pPr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Potentini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sostuvo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varios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miembros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la Suprema Corte de Justicia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ya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habrían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agotado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su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período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constitucional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siete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años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por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lo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corresponde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al Consejo Nacional de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Magistratura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iniciar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proceso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evaluación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y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reforma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ese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órgano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judicial.</w:t>
      </w:r>
    </w:p>
    <w:p w14:paraId="10E0A2FD" w14:textId="77777777" w:rsidR="00ED7418" w:rsidRPr="00ED7418" w:rsidRDefault="00ED7418" w:rsidP="00ED7418">
      <w:pPr>
        <w:jc w:val="both"/>
        <w:rPr>
          <w:rFonts w:ascii="Calibri" w:eastAsia="Times New Roman" w:hAnsi="Calibri" w:cs="Calibri"/>
          <w:lang w:val="es-DO" w:eastAsia="es-DO"/>
        </w:rPr>
      </w:pPr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El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dirigente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gremial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criticó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lo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definió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como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una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práctica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reiterada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retrasos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distintos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órganos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constitucionales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país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. En ese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sentido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recordó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situaciones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similares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ocurridas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anteriormente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Tribunal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Constitucional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propia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Suprema Corte de Justicia,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Tribunal Superior Electoral,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Defensoría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del Pueblo y la Cámara de Cuentas.</w:t>
      </w:r>
    </w:p>
    <w:p w14:paraId="14D98926" w14:textId="77777777" w:rsidR="00ED7418" w:rsidRPr="00ED7418" w:rsidRDefault="00ED7418" w:rsidP="00ED7418">
      <w:pPr>
        <w:jc w:val="both"/>
        <w:rPr>
          <w:rFonts w:ascii="Calibri" w:eastAsia="Times New Roman" w:hAnsi="Calibri" w:cs="Calibri"/>
          <w:lang w:val="es-DO" w:eastAsia="es-DO"/>
        </w:rPr>
      </w:pPr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juicio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presidente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del CARD,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esta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situación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resulta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contradictoria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con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discurso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institucionalista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presidente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Luis Abinader, 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quien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reconoció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como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lastRenderedPageBreak/>
        <w:t xml:space="preserve">un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mandatario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ha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proyectado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una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imagen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reformador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y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defensor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fortalecimiento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institucional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.</w:t>
      </w:r>
    </w:p>
    <w:p w14:paraId="786F23FC" w14:textId="77777777" w:rsidR="00ED7418" w:rsidRPr="00ED7418" w:rsidRDefault="00ED7418" w:rsidP="00ED7418">
      <w:pPr>
        <w:jc w:val="both"/>
        <w:rPr>
          <w:rFonts w:ascii="Calibri" w:eastAsia="Times New Roman" w:hAnsi="Calibri" w:cs="Calibri"/>
          <w:lang w:val="es-DO" w:eastAsia="es-DO"/>
        </w:rPr>
      </w:pPr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“Vamos 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estar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depositando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ese amparo para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restaurar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institucionalidad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”,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expresó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Potentini, al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insistir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necesidad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Consejo Nacional de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Magistratura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asuma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con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responsabilidad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proceso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reforma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y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transformación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según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dijo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requiere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actualmente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Suprema Corte de Justicia.</w:t>
      </w:r>
    </w:p>
    <w:p w14:paraId="5AC468B1" w14:textId="77777777" w:rsidR="00ED7418" w:rsidRPr="00ED7418" w:rsidRDefault="00ED7418" w:rsidP="00ED7418">
      <w:pPr>
        <w:jc w:val="both"/>
        <w:rPr>
          <w:rFonts w:ascii="Calibri" w:eastAsia="Times New Roman" w:hAnsi="Calibri" w:cs="Calibri"/>
          <w:lang w:val="es-DO" w:eastAsia="es-DO"/>
        </w:rPr>
      </w:pP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Asimismo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afirmó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gremio se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mantendrá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vigilante del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proceso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defendiendo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cualquier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eventual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escogencia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jueces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prevalezcan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trayectoria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meritocracia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y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carrera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judicial, y no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criterios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carácter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político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.</w:t>
      </w:r>
    </w:p>
    <w:p w14:paraId="3BF128BD" w14:textId="77777777" w:rsidR="00ED7418" w:rsidRPr="00ED7418" w:rsidRDefault="00ED7418" w:rsidP="00ED7418">
      <w:pPr>
        <w:jc w:val="both"/>
        <w:rPr>
          <w:rFonts w:ascii="Calibri" w:eastAsia="Times New Roman" w:hAnsi="Calibri" w:cs="Calibri"/>
          <w:lang w:val="es-DO" w:eastAsia="es-DO"/>
        </w:rPr>
      </w:pPr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Potentini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subrayó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muchos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hombres y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mujeres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con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años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servicio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y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preparación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esperan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una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oportunidad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para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integrar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Suprema Corte de Justicia,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por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lo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consideró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indispensable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se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garantice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independencia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judicial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como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eje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central del Estado de derecho.</w:t>
      </w:r>
    </w:p>
    <w:p w14:paraId="2DB4BDB8" w14:textId="77777777" w:rsidR="00ED7418" w:rsidRPr="00ED7418" w:rsidRDefault="00ED7418" w:rsidP="00ED7418">
      <w:pPr>
        <w:jc w:val="both"/>
        <w:rPr>
          <w:rFonts w:ascii="Calibri" w:eastAsia="Times New Roman" w:hAnsi="Calibri" w:cs="Calibri"/>
          <w:lang w:val="es-DO" w:eastAsia="es-DO"/>
        </w:rPr>
      </w:pP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Finalmente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expresó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su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esperanza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partir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este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recurso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amparo, las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autoridades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comprendan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necesidad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actuar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conforme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a la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institucionalidad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y al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orden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constitucional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, al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señalar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que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ese es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fundamento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esencial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de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todo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Estado </w:t>
      </w:r>
      <w:proofErr w:type="spellStart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>democrático</w:t>
      </w:r>
      <w:proofErr w:type="spellEnd"/>
      <w:r w:rsidRPr="00ED7418">
        <w:rPr>
          <w:rFonts w:ascii="Cambria" w:eastAsia="Times New Roman" w:hAnsi="Cambria" w:cs="Calibri"/>
          <w:sz w:val="26"/>
          <w:szCs w:val="26"/>
          <w:lang w:eastAsia="es-DO"/>
        </w:rPr>
        <w:t xml:space="preserve"> y de derecho.</w:t>
      </w:r>
    </w:p>
    <w:p w14:paraId="749CFBCC" w14:textId="7387FACE" w:rsidR="007109EC" w:rsidRPr="00ED7418" w:rsidRDefault="007109EC" w:rsidP="00ED7418">
      <w:pPr>
        <w:spacing w:after="0" w:line="240" w:lineRule="atLeast"/>
        <w:jc w:val="both"/>
        <w:rPr>
          <w:rFonts w:ascii="Cambria" w:eastAsia="Times New Roman" w:hAnsi="Cambria" w:cs="Calibri"/>
          <w:b/>
          <w:bCs/>
          <w:sz w:val="26"/>
          <w:szCs w:val="26"/>
        </w:rPr>
      </w:pPr>
    </w:p>
    <w:p w14:paraId="4DB32E69" w14:textId="3FBDEF95" w:rsidR="00CC4092" w:rsidRPr="00ED7418" w:rsidRDefault="00CC4092" w:rsidP="00CC4092">
      <w:pPr>
        <w:spacing w:after="0" w:line="256" w:lineRule="auto"/>
        <w:jc w:val="center"/>
        <w:rPr>
          <w:rFonts w:ascii="Cambria" w:hAnsi="Cambria" w:cstheme="minorHAnsi"/>
          <w:sz w:val="26"/>
          <w:szCs w:val="26"/>
          <w:lang w:val="es-DO"/>
        </w:rPr>
      </w:pPr>
      <w:r w:rsidRPr="00ED7418">
        <w:rPr>
          <w:rFonts w:ascii="Cambria" w:eastAsia="Times New Roman" w:hAnsi="Cambria" w:cs="Calibri"/>
          <w:b/>
          <w:bCs/>
          <w:sz w:val="26"/>
          <w:szCs w:val="26"/>
        </w:rPr>
        <w:t>DEPARTAMENTO DE COMUNICACIONES</w:t>
      </w:r>
    </w:p>
    <w:p w14:paraId="6E0844B7" w14:textId="77777777" w:rsidR="00CC4092" w:rsidRPr="00ED7418" w:rsidRDefault="00CC4092" w:rsidP="00CC4092">
      <w:pPr>
        <w:spacing w:after="0" w:line="240" w:lineRule="atLeast"/>
        <w:jc w:val="both"/>
        <w:rPr>
          <w:rFonts w:ascii="Cambria" w:hAnsi="Cambria"/>
          <w:sz w:val="26"/>
          <w:szCs w:val="26"/>
          <w:lang w:val="es-DO"/>
        </w:rPr>
      </w:pPr>
    </w:p>
    <w:p w14:paraId="36492D0B" w14:textId="4868D6B3" w:rsidR="00CF1E23" w:rsidRPr="00ED7418" w:rsidRDefault="00CF1E23" w:rsidP="00CC4092">
      <w:pPr>
        <w:rPr>
          <w:rFonts w:ascii="Cambria" w:hAnsi="Cambria"/>
          <w:sz w:val="26"/>
          <w:szCs w:val="26"/>
        </w:rPr>
      </w:pPr>
    </w:p>
    <w:sectPr w:rsidR="00CF1E23" w:rsidRPr="00ED7418" w:rsidSect="00A237B1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2349F" w14:textId="77777777" w:rsidR="001C3AA2" w:rsidRDefault="001C3AA2" w:rsidP="007867B1">
      <w:pPr>
        <w:spacing w:after="0" w:line="240" w:lineRule="auto"/>
      </w:pPr>
      <w:r>
        <w:separator/>
      </w:r>
    </w:p>
  </w:endnote>
  <w:endnote w:type="continuationSeparator" w:id="0">
    <w:p w14:paraId="44309C1E" w14:textId="77777777" w:rsidR="001C3AA2" w:rsidRDefault="001C3AA2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</w:t>
    </w:r>
    <w:proofErr w:type="spellStart"/>
    <w:r w:rsidR="00A10711" w:rsidRPr="00A10711">
      <w:rPr>
        <w:rFonts w:ascii="Arial" w:hAnsi="Arial" w:cs="Arial"/>
        <w:sz w:val="18"/>
        <w:szCs w:val="18"/>
      </w:rPr>
      <w:t>Dgo</w:t>
    </w:r>
    <w:proofErr w:type="spellEnd"/>
    <w:r w:rsidR="00A10711" w:rsidRPr="00A10711">
      <w:rPr>
        <w:rFonts w:ascii="Arial" w:hAnsi="Arial" w:cs="Arial"/>
        <w:sz w:val="18"/>
        <w:szCs w:val="18"/>
      </w:rPr>
      <w:t xml:space="preserve">., </w:t>
    </w:r>
    <w:proofErr w:type="gramStart"/>
    <w:r>
      <w:rPr>
        <w:rFonts w:ascii="Arial" w:hAnsi="Arial" w:cs="Arial"/>
        <w:sz w:val="18"/>
        <w:szCs w:val="18"/>
      </w:rPr>
      <w:tab/>
      <w:t xml:space="preserve">  Cayetano</w:t>
    </w:r>
    <w:proofErr w:type="gramEnd"/>
    <w:r>
      <w:rPr>
        <w:rFonts w:ascii="Arial" w:hAnsi="Arial" w:cs="Arial"/>
        <w:sz w:val="18"/>
        <w:szCs w:val="18"/>
      </w:rPr>
      <w:t xml:space="preserve"> Germosén, Sector Atala,</w:t>
    </w:r>
    <w:r w:rsidR="00882A0A">
      <w:rPr>
        <w:rFonts w:ascii="Arial" w:hAnsi="Arial" w:cs="Arial"/>
        <w:sz w:val="18"/>
        <w:szCs w:val="18"/>
      </w:rPr>
      <w:tab/>
      <w:t xml:space="preserve">                      Sto. </w:t>
    </w:r>
    <w:proofErr w:type="spellStart"/>
    <w:r w:rsidR="00882A0A">
      <w:rPr>
        <w:rFonts w:ascii="Arial" w:hAnsi="Arial" w:cs="Arial"/>
        <w:sz w:val="18"/>
        <w:szCs w:val="18"/>
      </w:rPr>
      <w:t>Dgo</w:t>
    </w:r>
    <w:proofErr w:type="spellEnd"/>
    <w:r w:rsidR="00882A0A">
      <w:rPr>
        <w:rFonts w:ascii="Arial" w:hAnsi="Arial" w:cs="Arial"/>
        <w:sz w:val="18"/>
        <w:szCs w:val="18"/>
      </w:rPr>
      <w:t>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</w:t>
    </w:r>
    <w:proofErr w:type="spellStart"/>
    <w:r w:rsidR="00CA13C5">
      <w:rPr>
        <w:rFonts w:ascii="Arial" w:hAnsi="Arial" w:cs="Arial"/>
        <w:sz w:val="18"/>
        <w:szCs w:val="18"/>
      </w:rPr>
      <w:t>Dgo</w:t>
    </w:r>
    <w:proofErr w:type="spellEnd"/>
    <w:r w:rsidR="00CA13C5">
      <w:rPr>
        <w:rFonts w:ascii="Arial" w:hAnsi="Arial" w:cs="Arial"/>
        <w:sz w:val="18"/>
        <w:szCs w:val="18"/>
      </w:rPr>
      <w:t xml:space="preserve">., </w:t>
    </w:r>
    <w:proofErr w:type="gramStart"/>
    <w:r w:rsidR="00CA13C5">
      <w:rPr>
        <w:rFonts w:ascii="Arial" w:hAnsi="Arial" w:cs="Arial"/>
        <w:sz w:val="18"/>
        <w:szCs w:val="18"/>
      </w:rPr>
      <w:t>D.N.,R.D.</w:t>
    </w:r>
    <w:proofErr w:type="gramEnd"/>
    <w:r w:rsidR="00CA13C5">
      <w:rPr>
        <w:rFonts w:ascii="Arial" w:hAnsi="Arial" w:cs="Arial"/>
        <w:sz w:val="18"/>
        <w:szCs w:val="18"/>
      </w:rPr>
      <w:t xml:space="preserve">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01CEE" w14:textId="77777777" w:rsidR="001C3AA2" w:rsidRDefault="001C3AA2" w:rsidP="007867B1">
      <w:pPr>
        <w:spacing w:after="0" w:line="240" w:lineRule="auto"/>
      </w:pPr>
      <w:r>
        <w:separator/>
      </w:r>
    </w:p>
  </w:footnote>
  <w:footnote w:type="continuationSeparator" w:id="0">
    <w:p w14:paraId="223034C6" w14:textId="77777777" w:rsidR="001C3AA2" w:rsidRDefault="001C3AA2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637963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1793B"/>
    <w:rsid w:val="00041055"/>
    <w:rsid w:val="000753BD"/>
    <w:rsid w:val="000800C8"/>
    <w:rsid w:val="000A5B21"/>
    <w:rsid w:val="00104ED1"/>
    <w:rsid w:val="00107728"/>
    <w:rsid w:val="00146B64"/>
    <w:rsid w:val="00152A9A"/>
    <w:rsid w:val="00193C54"/>
    <w:rsid w:val="001C3AA2"/>
    <w:rsid w:val="001E378D"/>
    <w:rsid w:val="00210F18"/>
    <w:rsid w:val="00226292"/>
    <w:rsid w:val="002638BC"/>
    <w:rsid w:val="0027743F"/>
    <w:rsid w:val="002A4D41"/>
    <w:rsid w:val="002B62D0"/>
    <w:rsid w:val="002D3B52"/>
    <w:rsid w:val="00344CF6"/>
    <w:rsid w:val="0036772B"/>
    <w:rsid w:val="0037733B"/>
    <w:rsid w:val="003A1B38"/>
    <w:rsid w:val="004014BB"/>
    <w:rsid w:val="00426D75"/>
    <w:rsid w:val="00427C16"/>
    <w:rsid w:val="00492779"/>
    <w:rsid w:val="004E7B24"/>
    <w:rsid w:val="004F4547"/>
    <w:rsid w:val="00501047"/>
    <w:rsid w:val="00507A63"/>
    <w:rsid w:val="00541ACD"/>
    <w:rsid w:val="005748D9"/>
    <w:rsid w:val="005C026D"/>
    <w:rsid w:val="005D41A9"/>
    <w:rsid w:val="0061401B"/>
    <w:rsid w:val="00647439"/>
    <w:rsid w:val="00682C5C"/>
    <w:rsid w:val="006937D4"/>
    <w:rsid w:val="006A7B9B"/>
    <w:rsid w:val="006B4CCE"/>
    <w:rsid w:val="006C10E5"/>
    <w:rsid w:val="007109EC"/>
    <w:rsid w:val="007404F8"/>
    <w:rsid w:val="00750B5B"/>
    <w:rsid w:val="00761437"/>
    <w:rsid w:val="007867B1"/>
    <w:rsid w:val="007A31B6"/>
    <w:rsid w:val="008269C4"/>
    <w:rsid w:val="00827606"/>
    <w:rsid w:val="00827ABA"/>
    <w:rsid w:val="00870FC1"/>
    <w:rsid w:val="00882A0A"/>
    <w:rsid w:val="008A7E55"/>
    <w:rsid w:val="008B04CF"/>
    <w:rsid w:val="00964820"/>
    <w:rsid w:val="009735C5"/>
    <w:rsid w:val="00975353"/>
    <w:rsid w:val="00995536"/>
    <w:rsid w:val="009D7DF7"/>
    <w:rsid w:val="009E6240"/>
    <w:rsid w:val="00A1064F"/>
    <w:rsid w:val="00A10711"/>
    <w:rsid w:val="00A237B1"/>
    <w:rsid w:val="00A4452A"/>
    <w:rsid w:val="00A47935"/>
    <w:rsid w:val="00A56526"/>
    <w:rsid w:val="00A67497"/>
    <w:rsid w:val="00AA72DA"/>
    <w:rsid w:val="00B05194"/>
    <w:rsid w:val="00B354D6"/>
    <w:rsid w:val="00B95F10"/>
    <w:rsid w:val="00BD78C9"/>
    <w:rsid w:val="00CA13C5"/>
    <w:rsid w:val="00CA78D8"/>
    <w:rsid w:val="00CC4092"/>
    <w:rsid w:val="00CC5EC9"/>
    <w:rsid w:val="00CF1E23"/>
    <w:rsid w:val="00CF21D2"/>
    <w:rsid w:val="00D50A76"/>
    <w:rsid w:val="00DA6DA3"/>
    <w:rsid w:val="00DD44F4"/>
    <w:rsid w:val="00DE6D13"/>
    <w:rsid w:val="00E20F85"/>
    <w:rsid w:val="00E92BBC"/>
    <w:rsid w:val="00EC1E9F"/>
    <w:rsid w:val="00ED7418"/>
    <w:rsid w:val="00F6030C"/>
    <w:rsid w:val="00F974DA"/>
    <w:rsid w:val="00F97D55"/>
    <w:rsid w:val="00FA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092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0104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_tradnl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kern w:val="2"/>
      <w:lang w:val="es-ES_tradnl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kern w:val="2"/>
      <w:lang w:val="es-ES_tradnl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5010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paragraph" w:styleId="NormalWeb">
    <w:name w:val="Normal (Web)"/>
    <w:basedOn w:val="Normal"/>
    <w:uiPriority w:val="99"/>
    <w:unhideWhenUsed/>
    <w:rsid w:val="0050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DO" w:eastAsia="es-DO"/>
    </w:rPr>
  </w:style>
  <w:style w:type="character" w:styleId="Fuerte">
    <w:name w:val="Strong"/>
    <w:basedOn w:val="Fuentedeprrafopredeter"/>
    <w:uiPriority w:val="22"/>
    <w:qFormat/>
    <w:rsid w:val="004F45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5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7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9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3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16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05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64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7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759842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0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EB351-5A6E-4BD5-9F6D-B1124F55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466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3</cp:revision>
  <dcterms:created xsi:type="dcterms:W3CDTF">2026-04-13T19:45:00Z</dcterms:created>
  <dcterms:modified xsi:type="dcterms:W3CDTF">2026-04-13T19:51:00Z</dcterms:modified>
</cp:coreProperties>
</file>