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C8652" w14:textId="77777777" w:rsidR="00067062" w:rsidRPr="00067062" w:rsidRDefault="00067062" w:rsidP="00067062">
      <w:pPr>
        <w:spacing w:after="0" w:line="256" w:lineRule="auto"/>
        <w:jc w:val="center"/>
        <w:rPr>
          <w:rFonts w:ascii="Calibri" w:eastAsia="Times New Roman" w:hAnsi="Calibri" w:cs="Calibri"/>
          <w:kern w:val="0"/>
          <w:lang w:val="es-MX" w:eastAsia="es-MX"/>
          <w14:ligatures w14:val="none"/>
        </w:rPr>
      </w:pPr>
      <w:r w:rsidRPr="00067062">
        <w:rPr>
          <w:rFonts w:ascii="Cambria" w:eastAsia="Times New Roman" w:hAnsi="Cambria" w:cs="Calibri"/>
          <w:b/>
          <w:bCs/>
          <w:kern w:val="0"/>
          <w:sz w:val="26"/>
          <w:szCs w:val="26"/>
          <w:lang w:val="es-MX" w:eastAsia="es-MX"/>
          <w14:ligatures w14:val="none"/>
        </w:rPr>
        <w:t>NOTA DE PRENSA</w:t>
      </w:r>
    </w:p>
    <w:p w14:paraId="5EB9E4A9" w14:textId="31201BFF" w:rsidR="00067062" w:rsidRPr="00067062" w:rsidRDefault="00067062" w:rsidP="00067062">
      <w:pPr>
        <w:spacing w:after="0" w:line="256" w:lineRule="auto"/>
        <w:jc w:val="center"/>
        <w:rPr>
          <w:rFonts w:ascii="Calibri" w:eastAsia="Times New Roman" w:hAnsi="Calibri" w:cs="Calibri"/>
          <w:kern w:val="0"/>
          <w:lang w:val="es-MX" w:eastAsia="es-MX"/>
          <w14:ligatures w14:val="none"/>
        </w:rPr>
      </w:pPr>
    </w:p>
    <w:p w14:paraId="3B786F1A" w14:textId="309EB377" w:rsidR="003E7298" w:rsidRPr="00BC248E" w:rsidRDefault="003E7298" w:rsidP="003E7298">
      <w:pPr>
        <w:spacing w:after="0" w:line="240" w:lineRule="atLeast"/>
        <w:jc w:val="center"/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</w:pPr>
      <w:r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  <w:t xml:space="preserve">CARD celebra con gran </w:t>
      </w:r>
      <w:r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  <w:t>éxito</w:t>
      </w:r>
      <w:r w:rsidRPr="009E7FC4"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  <w:t xml:space="preserve"> la </w:t>
      </w:r>
      <w:r w:rsidR="00280677"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  <w:t>A</w:t>
      </w:r>
      <w:r w:rsidRPr="009E7FC4"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  <w:t xml:space="preserve">udiencia </w:t>
      </w:r>
      <w:r w:rsidR="00280677"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  <w:t>A</w:t>
      </w:r>
      <w:r w:rsidRPr="009E7FC4">
        <w:rPr>
          <w:rFonts w:ascii="Cambria" w:eastAsia="MS Mincho" w:hAnsi="Cambria" w:cs="Times New Roman"/>
          <w:b/>
          <w:bCs/>
          <w:kern w:val="0"/>
          <w:sz w:val="26"/>
          <w:szCs w:val="26"/>
          <w:lang w:val="es-MX"/>
          <w14:ligatures w14:val="none"/>
        </w:rPr>
        <w:t>bierta sobre el Nuevo Código Penal comparado entre Colombia y República Dominicana</w:t>
      </w:r>
    </w:p>
    <w:p w14:paraId="5B7A1183" w14:textId="1CF9AAF4" w:rsidR="00067062" w:rsidRPr="00067062" w:rsidRDefault="00067062" w:rsidP="00067062">
      <w:pPr>
        <w:spacing w:after="0" w:line="256" w:lineRule="auto"/>
        <w:jc w:val="both"/>
        <w:rPr>
          <w:rFonts w:ascii="Calibri" w:eastAsia="Times New Roman" w:hAnsi="Calibri" w:cs="Calibri"/>
          <w:kern w:val="0"/>
          <w:lang w:val="es-MX" w:eastAsia="es-MX"/>
          <w14:ligatures w14:val="none"/>
        </w:rPr>
      </w:pPr>
    </w:p>
    <w:p w14:paraId="0D171E2D" w14:textId="4F2A71B5" w:rsidR="003E7298" w:rsidRPr="00BC248E" w:rsidRDefault="00067062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  <w:r w:rsidRPr="00067062">
        <w:rPr>
          <w:rFonts w:ascii="Cambria" w:eastAsia="Times New Roman" w:hAnsi="Cambria" w:cs="Calibri"/>
          <w:b/>
          <w:bCs/>
          <w:kern w:val="0"/>
          <w:sz w:val="26"/>
          <w:szCs w:val="26"/>
          <w:lang w:val="es-MX" w:eastAsia="es-MX"/>
          <w14:ligatures w14:val="none"/>
        </w:rPr>
        <w:t>Santo Domingo, República Dominicana - 2</w:t>
      </w:r>
      <w:r w:rsidR="0038526D">
        <w:rPr>
          <w:rFonts w:ascii="Cambria" w:eastAsia="Times New Roman" w:hAnsi="Cambria" w:cs="Calibri"/>
          <w:b/>
          <w:bCs/>
          <w:kern w:val="0"/>
          <w:sz w:val="26"/>
          <w:szCs w:val="26"/>
          <w:lang w:val="es-MX" w:eastAsia="es-MX"/>
          <w14:ligatures w14:val="none"/>
        </w:rPr>
        <w:t>5</w:t>
      </w:r>
      <w:r w:rsidRPr="00067062">
        <w:rPr>
          <w:rFonts w:ascii="Cambria" w:eastAsia="Times New Roman" w:hAnsi="Cambria" w:cs="Calibri"/>
          <w:b/>
          <w:bCs/>
          <w:kern w:val="0"/>
          <w:sz w:val="26"/>
          <w:szCs w:val="26"/>
          <w:lang w:val="es-MX" w:eastAsia="es-MX"/>
          <w14:ligatures w14:val="none"/>
        </w:rPr>
        <w:t xml:space="preserve"> de </w:t>
      </w:r>
      <w:r w:rsidR="0038526D">
        <w:rPr>
          <w:rFonts w:ascii="Cambria" w:eastAsia="Times New Roman" w:hAnsi="Cambria" w:cs="Calibri"/>
          <w:b/>
          <w:bCs/>
          <w:kern w:val="0"/>
          <w:sz w:val="26"/>
          <w:szCs w:val="26"/>
          <w:lang w:val="es-MX" w:eastAsia="es-MX"/>
          <w14:ligatures w14:val="none"/>
        </w:rPr>
        <w:t>septiembre</w:t>
      </w:r>
      <w:r w:rsidRPr="00067062">
        <w:rPr>
          <w:rFonts w:ascii="Cambria" w:eastAsia="Times New Roman" w:hAnsi="Cambria" w:cs="Calibri"/>
          <w:b/>
          <w:bCs/>
          <w:kern w:val="0"/>
          <w:sz w:val="26"/>
          <w:szCs w:val="26"/>
          <w:lang w:val="es-MX" w:eastAsia="es-MX"/>
          <w14:ligatures w14:val="none"/>
        </w:rPr>
        <w:t xml:space="preserve"> de 2025. </w:t>
      </w:r>
      <w:r w:rsidR="003E7298"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Con una masiva participación y un ambiente de alto nivel académico, concluyó con gran éxito la conferencia internacional “Visión Comparada: Nuevo Código Penal (Colombia–República Dominicana)”, celebrada el pasado martes 23 de septiembre de 2025 en modalidad virtual y con acceso libre para toda la ciudadanía.</w:t>
      </w:r>
    </w:p>
    <w:p w14:paraId="4AED59EC" w14:textId="77777777" w:rsidR="003E7298" w:rsidRPr="009E7FC4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</w:p>
    <w:p w14:paraId="0E9F87B5" w14:textId="1254853B" w:rsidR="003E7298" w:rsidRPr="00BC248E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La actividad, organizada en conjunto por el Colegio de Abogados de la República Dominicana (CARD), la Fundación Justicia y Transparencia (FJT), la Fundación Latinoamericana de Derecho y Economía (FLADE), la Corporación de Jueces y Magistrados de Colombia (CORJUSTICIA) y la Fundación Torreón, reunió a destacados juristas y académicos de ambos países en un análisis profundo sobre la Ley 74-25 del nuevo Código Penal </w:t>
      </w:r>
      <w:r w:rsidR="00C52F3D"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Dom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inicano y las reformas penales implementadas en Colombia.</w:t>
      </w:r>
    </w:p>
    <w:p w14:paraId="1925DD7C" w14:textId="77777777" w:rsidR="003E7298" w:rsidRPr="009E7FC4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</w:p>
    <w:p w14:paraId="5CAE9066" w14:textId="77777777" w:rsidR="003E7298" w:rsidRPr="00BC248E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El evento contó con la participación de renombrados especialistas en derecho penal, quienes abordaron de manera comparativa los alcances, retos y repercusiones del nuevo marco legal</w:t>
      </w:r>
      <w:r w:rsidRPr="00BC248E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, bajo la moderación del abogado constitucionalista Smerly Rodríguez,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Trajano Potentini, presidente del Colegio de Abogados de la República Dominicana y presidente de la FJT.</w:t>
      </w:r>
      <w:r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, el magistrado.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Hermes Darío Lara</w:t>
      </w:r>
      <w:r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Acuña</w:t>
      </w:r>
      <w:r w:rsidRPr="00BC248E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,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Marino </w:t>
      </w:r>
      <w:r w:rsidRPr="00BC248E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Feliz</w:t>
      </w:r>
      <w:r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, la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Dra. Yngrid Hidalgo </w:t>
      </w:r>
      <w:r w:rsidRPr="00BC248E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Martínez</w:t>
      </w:r>
      <w:r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, el 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Dr. Daniel Largacha</w:t>
      </w:r>
      <w:r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,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Francisco Manzano</w:t>
      </w:r>
      <w:r w:rsidRPr="00BC248E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y Francisco Rodríguez Ministerio Público de carrera.</w:t>
      </w:r>
    </w:p>
    <w:p w14:paraId="2FE6754B" w14:textId="77777777" w:rsidR="003E7298" w:rsidRPr="009E7FC4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</w:p>
    <w:p w14:paraId="372E88BA" w14:textId="29AA8FB7" w:rsidR="003E7298" w:rsidRDefault="003E7298" w:rsidP="003E72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Durante su intervención, Trajano Potentini destacó la relevancia del encuentro como un espacio de construcción académica y de reflexión crítica</w:t>
      </w:r>
      <w:r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, tras afirmar que l</w:t>
      </w:r>
      <w:r w:rsidRPr="00BC248E">
        <w:rPr>
          <w:rFonts w:ascii="Cambria" w:hAnsi="Cambria"/>
          <w:sz w:val="26"/>
          <w:szCs w:val="26"/>
        </w:rPr>
        <w:t xml:space="preserve">a comparación de modelos penales nos permite identificar fortalezas, debilidades y oportunidades de mejora en nuestros sistemas de justicia. Con la entrada en vigor del nuevo Código Penal </w:t>
      </w:r>
      <w:r w:rsidR="00C52F3D" w:rsidRPr="00BC248E">
        <w:rPr>
          <w:rFonts w:ascii="Cambria" w:hAnsi="Cambria"/>
          <w:sz w:val="26"/>
          <w:szCs w:val="26"/>
        </w:rPr>
        <w:t>Dom</w:t>
      </w:r>
      <w:r w:rsidRPr="00BC248E">
        <w:rPr>
          <w:rFonts w:ascii="Cambria" w:hAnsi="Cambria"/>
          <w:sz w:val="26"/>
          <w:szCs w:val="26"/>
        </w:rPr>
        <w:t>inicano, resulta indispensable abrir estas discusiones para garantizar la transparencia, la constitucionalidad y la protección de los derechos fundamentales.</w:t>
      </w:r>
    </w:p>
    <w:p w14:paraId="0F40102E" w14:textId="77777777" w:rsidR="003E7298" w:rsidRPr="00BC248E" w:rsidRDefault="003E7298" w:rsidP="003E72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</w:p>
    <w:p w14:paraId="27B96890" w14:textId="77777777" w:rsidR="003E7298" w:rsidRPr="00BC248E" w:rsidRDefault="003E7298" w:rsidP="003E7298">
      <w:pPr>
        <w:spacing w:after="0" w:line="240" w:lineRule="atLeast"/>
        <w:jc w:val="both"/>
        <w:rPr>
          <w:rFonts w:ascii="Cambria" w:hAnsi="Cambria"/>
          <w:sz w:val="26"/>
          <w:szCs w:val="26"/>
        </w:rPr>
      </w:pPr>
      <w:r w:rsidRPr="00BC248E">
        <w:rPr>
          <w:rFonts w:ascii="Cambria" w:hAnsi="Cambria"/>
          <w:sz w:val="26"/>
          <w:szCs w:val="26"/>
        </w:rPr>
        <w:lastRenderedPageBreak/>
        <w:t xml:space="preserve">Potentini, </w:t>
      </w:r>
      <w:r>
        <w:rPr>
          <w:rFonts w:ascii="Cambria" w:hAnsi="Cambria"/>
          <w:sz w:val="26"/>
          <w:szCs w:val="26"/>
        </w:rPr>
        <w:t xml:space="preserve">también </w:t>
      </w:r>
      <w:r w:rsidRPr="00BC248E">
        <w:rPr>
          <w:rFonts w:ascii="Cambria" w:hAnsi="Cambria"/>
          <w:sz w:val="26"/>
          <w:szCs w:val="26"/>
        </w:rPr>
        <w:t>en su calidad de presidente del CARD, reafirmó además el compromiso de la institución con la formación continua de los profesionales del derecho y la promoción de debates que fortalezcan la institucionalidad democrática y el Estado de derecho.</w:t>
      </w:r>
    </w:p>
    <w:p w14:paraId="0EED2A77" w14:textId="77777777" w:rsidR="003E7298" w:rsidRPr="00BC248E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</w:p>
    <w:p w14:paraId="3B82DC04" w14:textId="77777777" w:rsidR="003E7298" w:rsidRPr="009E7FC4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El evento alcanzó una notable audiencia tanto en la plataforma Zoom como en la transmisión en vivo realizada a través de El Veedor Digital, redes sociales y canales institucionales, lo que permitió que estudiantes, abogados, académicos y ciudadanos de distintos países pudieran integrarse al debate.</w:t>
      </w:r>
      <w:r w:rsidRPr="00BC248E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La modalidad virtual facilitó la interacción abierta del público con los panelistas, consolidando el encuentro como un referente en el análisis jurídico comparado en América Latina.</w:t>
      </w:r>
    </w:p>
    <w:p w14:paraId="263F558E" w14:textId="77777777" w:rsidR="003E7298" w:rsidRPr="00BC248E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</w:p>
    <w:p w14:paraId="66C1E2BA" w14:textId="77777777" w:rsidR="003E7298" w:rsidRPr="009E7FC4" w:rsidRDefault="003E7298" w:rsidP="003E7298">
      <w:pPr>
        <w:spacing w:after="0" w:line="240" w:lineRule="atLeast"/>
        <w:jc w:val="both"/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</w:pP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La discusión comparativa sobre el nuevo Código Penal se convierte en una herramienta esencial para juristas y legisladores, en la medida en que brinda luces sobre los retos de la tipificación de delitos, la proporcionalidad de las sanciones, la prevención del crimen y el fortalecimiento de la justicia penal.</w:t>
      </w:r>
      <w:r w:rsidRPr="00BC248E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 xml:space="preserve"> </w:t>
      </w:r>
      <w:r w:rsidRPr="009E7FC4">
        <w:rPr>
          <w:rFonts w:ascii="Cambria" w:eastAsia="MS Mincho" w:hAnsi="Cambria" w:cs="Times New Roman"/>
          <w:kern w:val="0"/>
          <w:sz w:val="26"/>
          <w:szCs w:val="26"/>
          <w:lang w:val="es-MX"/>
          <w14:ligatures w14:val="none"/>
        </w:rPr>
        <w:t>Este foro internacional sienta un precedente para futuros espacios de cooperación y reflexión académica, reafirmando el liderazgo del Colegio de Abogados de la República Dominicana y la Fundación Justicia y Transparencia en la promoción de la cultura jurídica regional.</w:t>
      </w:r>
    </w:p>
    <w:p w14:paraId="3723F7FA" w14:textId="77777777" w:rsidR="003E7298" w:rsidRPr="00BC248E" w:rsidRDefault="003E7298" w:rsidP="003E7298">
      <w:pPr>
        <w:spacing w:after="0" w:line="240" w:lineRule="atLeast"/>
        <w:jc w:val="both"/>
        <w:rPr>
          <w:sz w:val="26"/>
          <w:szCs w:val="26"/>
          <w:lang w:val="es-MX"/>
        </w:rPr>
      </w:pPr>
    </w:p>
    <w:p w14:paraId="12C20FD1" w14:textId="79ECF5B4" w:rsidR="00067062" w:rsidRPr="00067062" w:rsidRDefault="00067062" w:rsidP="003E7298">
      <w:pPr>
        <w:spacing w:after="0" w:line="256" w:lineRule="auto"/>
        <w:jc w:val="both"/>
        <w:rPr>
          <w:rFonts w:ascii="Calibri" w:eastAsia="Times New Roman" w:hAnsi="Calibri" w:cs="Calibri"/>
          <w:kern w:val="0"/>
          <w:lang w:val="es-MX" w:eastAsia="es-MX"/>
          <w14:ligatures w14:val="none"/>
        </w:rPr>
      </w:pPr>
    </w:p>
    <w:p w14:paraId="39E58AAF" w14:textId="71CA51D2" w:rsidR="00067062" w:rsidRPr="00067062" w:rsidRDefault="00067062" w:rsidP="00067062">
      <w:pPr>
        <w:spacing w:after="0" w:line="256" w:lineRule="auto"/>
        <w:jc w:val="center"/>
        <w:rPr>
          <w:rFonts w:ascii="Calibri" w:eastAsia="Times New Roman" w:hAnsi="Calibri" w:cs="Calibri"/>
          <w:kern w:val="0"/>
          <w:lang w:val="es-MX" w:eastAsia="es-MX"/>
          <w14:ligatures w14:val="none"/>
        </w:rPr>
      </w:pPr>
    </w:p>
    <w:p w14:paraId="36063989" w14:textId="77777777" w:rsidR="00067062" w:rsidRPr="00067062" w:rsidRDefault="00067062" w:rsidP="00067062">
      <w:pPr>
        <w:spacing w:after="0" w:line="256" w:lineRule="auto"/>
        <w:jc w:val="center"/>
        <w:rPr>
          <w:rFonts w:ascii="Calibri" w:eastAsia="Times New Roman" w:hAnsi="Calibri" w:cs="Calibri"/>
          <w:kern w:val="0"/>
          <w:lang w:val="es-MX" w:eastAsia="es-MX"/>
          <w14:ligatures w14:val="none"/>
        </w:rPr>
      </w:pPr>
      <w:r w:rsidRPr="00067062">
        <w:rPr>
          <w:rFonts w:ascii="Cambria" w:eastAsia="Times New Roman" w:hAnsi="Cambria" w:cs="Calibri"/>
          <w:kern w:val="0"/>
          <w:sz w:val="26"/>
          <w:szCs w:val="26"/>
          <w:lang w:val="es-DO" w:eastAsia="es-MX"/>
          <w14:ligatures w14:val="none"/>
        </w:rPr>
        <w:t>DEPARTAMENTO DE COMUNICACIONES</w:t>
      </w:r>
    </w:p>
    <w:p w14:paraId="0146966B" w14:textId="46A971E1" w:rsidR="00492779" w:rsidRPr="00067062" w:rsidRDefault="00492779" w:rsidP="00067062"/>
    <w:sectPr w:rsidR="00492779" w:rsidRPr="00067062" w:rsidSect="00DD44F4">
      <w:headerReference w:type="default" r:id="rId7"/>
      <w:footerReference w:type="default" r:id="rId8"/>
      <w:pgSz w:w="12240" w:h="15840"/>
      <w:pgMar w:top="-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CEEF" w14:textId="77777777" w:rsidR="00B36940" w:rsidRDefault="00B36940" w:rsidP="007867B1">
      <w:pPr>
        <w:spacing w:after="0" w:line="240" w:lineRule="auto"/>
      </w:pPr>
      <w:r>
        <w:separator/>
      </w:r>
    </w:p>
  </w:endnote>
  <w:endnote w:type="continuationSeparator" w:id="0">
    <w:p w14:paraId="7D073F6A" w14:textId="77777777" w:rsidR="00B36940" w:rsidRDefault="00B36940" w:rsidP="00786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DFEA2" w14:textId="046AF278" w:rsidR="00CA13C5" w:rsidRDefault="00492779" w:rsidP="00882A0A"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98C31D" wp14:editId="01B1287D">
              <wp:simplePos x="0" y="0"/>
              <wp:positionH relativeFrom="column">
                <wp:posOffset>3882390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68733573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8773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5.7pt;margin-top:5.6pt;width:0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8C31D" wp14:editId="58B38B56">
              <wp:simplePos x="0" y="0"/>
              <wp:positionH relativeFrom="column">
                <wp:posOffset>1548765</wp:posOffset>
              </wp:positionH>
              <wp:positionV relativeFrom="paragraph">
                <wp:posOffset>71120</wp:posOffset>
              </wp:positionV>
              <wp:extent cx="0" cy="742950"/>
              <wp:effectExtent l="9525" t="9525" r="9525" b="9525"/>
              <wp:wrapNone/>
              <wp:docPr id="36290411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7429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773931" id="AutoShape 2" o:spid="_x0000_s1026" type="#_x0000_t32" style="position:absolute;margin-left:121.95pt;margin-top:5.6pt;width:0;height:5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"/>
          </w:pict>
        </mc:Fallback>
      </mc:AlternateContent>
    </w:r>
    <w:r>
      <w:rPr>
        <w:noProof/>
        <w:lang w:val="es-DO" w:eastAsia="es-D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D7A83A" wp14:editId="2286C7E2">
              <wp:simplePos x="0" y="0"/>
              <wp:positionH relativeFrom="column">
                <wp:posOffset>-908685</wp:posOffset>
              </wp:positionH>
              <wp:positionV relativeFrom="paragraph">
                <wp:posOffset>-24130</wp:posOffset>
              </wp:positionV>
              <wp:extent cx="7334250" cy="0"/>
              <wp:effectExtent l="9525" t="9525" r="9525" b="9525"/>
              <wp:wrapNone/>
              <wp:docPr id="187077596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342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6818B6" id="AutoShape 1" o:spid="_x0000_s1026" type="#_x0000_t32" style="position:absolute;margin-left:-71.55pt;margin-top:-1.9pt;width:577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"/>
          </w:pict>
        </mc:Fallback>
      </mc:AlternateContent>
    </w:r>
  </w:p>
  <w:p w14:paraId="0B92A3A1" w14:textId="37F2C609" w:rsidR="00A10711" w:rsidRPr="00A10711" w:rsidRDefault="00CA13C5" w:rsidP="00CA13C5">
    <w:pPr>
      <w:pStyle w:val="Piedepgina"/>
      <w:ind w:left="-1418" w:right="-1227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       </w:t>
    </w:r>
    <w:r w:rsidR="00A10711" w:rsidRPr="00A10711">
      <w:rPr>
        <w:rFonts w:ascii="Arial" w:hAnsi="Arial" w:cs="Arial"/>
        <w:sz w:val="18"/>
        <w:szCs w:val="18"/>
      </w:rPr>
      <w:t>Calle Isabel La Católica No. 60</w:t>
    </w:r>
    <w:r>
      <w:rPr>
        <w:rFonts w:ascii="Arial" w:hAnsi="Arial" w:cs="Arial"/>
        <w:sz w:val="18"/>
        <w:szCs w:val="18"/>
      </w:rPr>
      <w:t xml:space="preserve">                         </w:t>
    </w:r>
    <w:r>
      <w:t xml:space="preserve">San Juan Bautista #136, Esq.          </w:t>
    </w:r>
    <w:r w:rsidR="00882A0A">
      <w:t xml:space="preserve">      </w:t>
    </w:r>
    <w:r>
      <w:t xml:space="preserve">  Av.</w:t>
    </w:r>
    <w:r w:rsidR="00344CF6">
      <w:t xml:space="preserve"> Simón Bolívar No. 9, Sector Gas</w:t>
    </w:r>
    <w:r>
      <w:t>cue</w:t>
    </w:r>
    <w:r>
      <w:tab/>
    </w:r>
  </w:p>
  <w:p w14:paraId="4BE9235D" w14:textId="5044B689" w:rsidR="00A10711" w:rsidRPr="00A10711" w:rsidRDefault="00CA13C5" w:rsidP="00882A0A">
    <w:pPr>
      <w:pStyle w:val="Piedepgina"/>
      <w:ind w:left="-993" w:right="-1085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</w:t>
    </w:r>
    <w:r w:rsidR="00A10711" w:rsidRPr="00A10711">
      <w:rPr>
        <w:rFonts w:ascii="Arial" w:hAnsi="Arial" w:cs="Arial"/>
        <w:sz w:val="18"/>
        <w:szCs w:val="18"/>
      </w:rPr>
      <w:t xml:space="preserve">Esq. Conde, Zona Colonial, Sto. Dgo., </w:t>
    </w:r>
    <w:r>
      <w:rPr>
        <w:rFonts w:ascii="Arial" w:hAnsi="Arial" w:cs="Arial"/>
        <w:sz w:val="18"/>
        <w:szCs w:val="18"/>
      </w:rPr>
      <w:tab/>
      <w:t xml:space="preserve">  Cayetano Germosén, Sector Atala,</w:t>
    </w:r>
    <w:r w:rsidR="00882A0A">
      <w:rPr>
        <w:rFonts w:ascii="Arial" w:hAnsi="Arial" w:cs="Arial"/>
        <w:sz w:val="18"/>
        <w:szCs w:val="18"/>
      </w:rPr>
      <w:tab/>
      <w:t xml:space="preserve">                      Sto. Dgo., Distrito Nacional, R.D.</w:t>
    </w:r>
  </w:p>
  <w:p w14:paraId="2849220D" w14:textId="2AAE2129" w:rsidR="007867B1" w:rsidRDefault="00A10711" w:rsidP="00882A0A">
    <w:pPr>
      <w:pStyle w:val="Piedepgina"/>
      <w:ind w:left="-993" w:right="-1085"/>
    </w:pPr>
    <w:r w:rsidRPr="00A10711">
      <w:rPr>
        <w:rFonts w:ascii="Arial" w:hAnsi="Arial" w:cs="Arial"/>
        <w:sz w:val="18"/>
        <w:szCs w:val="18"/>
      </w:rPr>
      <w:t>Distrito Nacional, R.D. Tel: 809-685-5259</w:t>
    </w:r>
    <w:r w:rsidR="00CA13C5">
      <w:rPr>
        <w:rFonts w:ascii="Arial" w:hAnsi="Arial" w:cs="Arial"/>
        <w:sz w:val="18"/>
        <w:szCs w:val="18"/>
      </w:rPr>
      <w:tab/>
      <w:t xml:space="preserve"> Sto. Dgo., D.N.,R.D. </w:t>
    </w:r>
    <w:hyperlink r:id="rId1" w:history="1">
      <w:r w:rsidR="00882A0A" w:rsidRPr="00882A0A">
        <w:rPr>
          <w:rStyle w:val="Hipervnculo"/>
          <w:rFonts w:ascii="Arial" w:hAnsi="Arial" w:cs="Arial"/>
          <w:color w:val="auto"/>
          <w:sz w:val="18"/>
          <w:szCs w:val="18"/>
          <w:u w:val="none"/>
        </w:rPr>
        <w:t>Tel:809-685-4029</w:t>
      </w:r>
    </w:hyperlink>
    <w:r w:rsidR="00882A0A">
      <w:rPr>
        <w:rFonts w:ascii="Arial" w:hAnsi="Arial" w:cs="Arial"/>
        <w:sz w:val="18"/>
        <w:szCs w:val="18"/>
      </w:rPr>
      <w:t xml:space="preserve">                           </w:t>
    </w:r>
    <w:r w:rsidR="00882A0A">
      <w:rPr>
        <w:rFonts w:ascii="Arial" w:hAnsi="Arial" w:cs="Arial"/>
        <w:sz w:val="18"/>
        <w:szCs w:val="18"/>
      </w:rPr>
      <w:tab/>
      <w:t xml:space="preserve">       Tel: 809-685-4029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89F93" w14:textId="77777777" w:rsidR="00B36940" w:rsidRDefault="00B36940" w:rsidP="007867B1">
      <w:pPr>
        <w:spacing w:after="0" w:line="240" w:lineRule="auto"/>
      </w:pPr>
      <w:r>
        <w:separator/>
      </w:r>
    </w:p>
  </w:footnote>
  <w:footnote w:type="continuationSeparator" w:id="0">
    <w:p w14:paraId="1B9C9003" w14:textId="77777777" w:rsidR="00B36940" w:rsidRDefault="00B36940" w:rsidP="00786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4320" w14:textId="3B67F6E9" w:rsidR="007867B1" w:rsidRPr="009D7DF7" w:rsidRDefault="009D7DF7" w:rsidP="009D7DF7">
    <w:pPr>
      <w:pStyle w:val="Encabezado"/>
      <w:ind w:right="-660"/>
      <w:rPr>
        <w:rFonts w:ascii="Arial" w:hAnsi="Arial" w:cs="Arial"/>
        <w:b/>
        <w:bCs/>
        <w:color w:val="2F5496" w:themeColor="accent1" w:themeShade="BF"/>
        <w:sz w:val="28"/>
        <w:szCs w:val="28"/>
      </w:rPr>
    </w:pPr>
    <w:r w:rsidRPr="009D7DF7">
      <w:rPr>
        <w:rFonts w:ascii="Arial" w:hAnsi="Arial" w:cs="Arial"/>
        <w:b/>
        <w:bCs/>
        <w:noProof/>
        <w:color w:val="4472C4" w:themeColor="accent1"/>
        <w:sz w:val="28"/>
        <w:szCs w:val="28"/>
        <w:lang w:val="es-DO" w:eastAsia="es-DO"/>
      </w:rPr>
      <w:drawing>
        <wp:anchor distT="0" distB="0" distL="114300" distR="114300" simplePos="0" relativeHeight="251658240" behindDoc="0" locked="0" layoutInCell="1" allowOverlap="1" wp14:anchorId="09B52AF9" wp14:editId="7078A49B">
          <wp:simplePos x="0" y="0"/>
          <wp:positionH relativeFrom="column">
            <wp:posOffset>-756285</wp:posOffset>
          </wp:positionH>
          <wp:positionV relativeFrom="paragraph">
            <wp:posOffset>-201930</wp:posOffset>
          </wp:positionV>
          <wp:extent cx="1143000" cy="1129030"/>
          <wp:effectExtent l="0" t="0" r="0" b="0"/>
          <wp:wrapSquare wrapText="bothSides"/>
          <wp:docPr id="20026981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9838882" name="Imagen 1829838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29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711">
      <w:rPr>
        <w:rFonts w:ascii="Arial" w:hAnsi="Arial" w:cs="Arial"/>
        <w:b/>
        <w:bCs/>
        <w:color w:val="2F5496" w:themeColor="accent1" w:themeShade="BF"/>
        <w:sz w:val="28"/>
        <w:szCs w:val="28"/>
      </w:rPr>
      <w:t xml:space="preserve">   </w:t>
    </w:r>
    <w:r w:rsidR="007867B1" w:rsidRPr="009D7DF7">
      <w:rPr>
        <w:rFonts w:ascii="Arial" w:hAnsi="Arial" w:cs="Arial"/>
        <w:b/>
        <w:bCs/>
        <w:color w:val="2F5496" w:themeColor="accent1" w:themeShade="BF"/>
        <w:sz w:val="28"/>
        <w:szCs w:val="28"/>
      </w:rPr>
      <w:t>COLEGIO DE ABOGADOS DE LA REPÚBLICA DOMINICANA</w:t>
    </w:r>
  </w:p>
  <w:p w14:paraId="1FAD499A" w14:textId="35D23033" w:rsidR="007867B1" w:rsidRDefault="00A10711" w:rsidP="007867B1">
    <w:pPr>
      <w:pStyle w:val="Encabezado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 xml:space="preserve">     </w:t>
    </w:r>
    <w:r w:rsidR="007867B1" w:rsidRPr="007867B1">
      <w:rPr>
        <w:rFonts w:ascii="Arial" w:hAnsi="Arial" w:cs="Arial"/>
        <w:b/>
        <w:bCs/>
        <w:sz w:val="24"/>
        <w:szCs w:val="24"/>
      </w:rPr>
      <w:t>Fundado el 3 de febrero de 1983</w:t>
    </w:r>
  </w:p>
  <w:p w14:paraId="7936CCC4" w14:textId="1E781513" w:rsidR="007867B1" w:rsidRDefault="00A10711" w:rsidP="007867B1">
    <w:pPr>
      <w:pStyle w:val="Encabezad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           </w:t>
    </w:r>
    <w:r w:rsidR="007867B1">
      <w:rPr>
        <w:rFonts w:ascii="Arial" w:hAnsi="Arial" w:cs="Arial"/>
        <w:sz w:val="24"/>
        <w:szCs w:val="24"/>
      </w:rPr>
      <w:t>Miembro Activo de la Federación Interamericana de Abogados (FIA)</w:t>
    </w:r>
  </w:p>
  <w:p w14:paraId="76E60E98" w14:textId="753DDD33" w:rsid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 </w:t>
    </w:r>
    <w:r w:rsidR="007867B1">
      <w:rPr>
        <w:rFonts w:ascii="Arial" w:hAnsi="Arial" w:cs="Arial"/>
        <w:sz w:val="24"/>
        <w:szCs w:val="24"/>
      </w:rPr>
      <w:t>Y de la Unión Iberoamericana de Colegios y Agrupaciones de Abogados (UIBA</w:t>
    </w:r>
    <w:r w:rsidR="009D7DF7">
      <w:rPr>
        <w:rFonts w:ascii="Arial" w:hAnsi="Arial" w:cs="Arial"/>
        <w:sz w:val="24"/>
        <w:szCs w:val="24"/>
      </w:rPr>
      <w:t>)</w:t>
    </w:r>
  </w:p>
  <w:p w14:paraId="052A8130" w14:textId="77777777" w:rsidR="00A10711" w:rsidRPr="007867B1" w:rsidRDefault="00A10711" w:rsidP="00A10711">
    <w:pPr>
      <w:pStyle w:val="Encabezado"/>
      <w:ind w:right="-518"/>
      <w:jc w:val="center"/>
      <w:rPr>
        <w:rFonts w:ascii="Arial" w:hAnsi="Arial" w:cs="Arial"/>
        <w:sz w:val="24"/>
        <w:szCs w:val="24"/>
      </w:rPr>
    </w:pPr>
  </w:p>
  <w:p w14:paraId="321D0AE0" w14:textId="77777777" w:rsidR="007867B1" w:rsidRPr="00882A0A" w:rsidRDefault="007867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7B1"/>
    <w:rsid w:val="0001793B"/>
    <w:rsid w:val="00067062"/>
    <w:rsid w:val="00186182"/>
    <w:rsid w:val="00280677"/>
    <w:rsid w:val="002F70E5"/>
    <w:rsid w:val="00344CF6"/>
    <w:rsid w:val="00353100"/>
    <w:rsid w:val="00363BB4"/>
    <w:rsid w:val="0038526D"/>
    <w:rsid w:val="003E588D"/>
    <w:rsid w:val="003E7298"/>
    <w:rsid w:val="003F6C76"/>
    <w:rsid w:val="004014BB"/>
    <w:rsid w:val="00492779"/>
    <w:rsid w:val="004B3774"/>
    <w:rsid w:val="005A154A"/>
    <w:rsid w:val="00647439"/>
    <w:rsid w:val="007867B1"/>
    <w:rsid w:val="007F6BA3"/>
    <w:rsid w:val="008525E7"/>
    <w:rsid w:val="0087762C"/>
    <w:rsid w:val="00882A0A"/>
    <w:rsid w:val="008D42E9"/>
    <w:rsid w:val="009735C5"/>
    <w:rsid w:val="009D7DF7"/>
    <w:rsid w:val="009E6BB6"/>
    <w:rsid w:val="00A1064F"/>
    <w:rsid w:val="00A10711"/>
    <w:rsid w:val="00AA4452"/>
    <w:rsid w:val="00B36940"/>
    <w:rsid w:val="00C52F3D"/>
    <w:rsid w:val="00C5306E"/>
    <w:rsid w:val="00C63222"/>
    <w:rsid w:val="00CA13C5"/>
    <w:rsid w:val="00CF21D2"/>
    <w:rsid w:val="00D93A45"/>
    <w:rsid w:val="00DD44F4"/>
    <w:rsid w:val="00E509CD"/>
    <w:rsid w:val="00E618F5"/>
    <w:rsid w:val="00E84C64"/>
    <w:rsid w:val="00F6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64B422"/>
  <w15:docId w15:val="{D8313858-4D40-4D32-B02C-3D337ABD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67B1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86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67B1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882A0A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2A0A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344CF6"/>
    <w:pPr>
      <w:spacing w:after="0" w:line="240" w:lineRule="auto"/>
    </w:pPr>
    <w:rPr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8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8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809-685-40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F40DF-B484-4026-A7D3-9CD41311C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524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jerfry sanchez</dc:creator>
  <cp:keywords/>
  <dc:description/>
  <cp:lastModifiedBy>Trajano Vidal Potentini Adames</cp:lastModifiedBy>
  <cp:revision>5</cp:revision>
  <dcterms:created xsi:type="dcterms:W3CDTF">2025-09-25T16:52:00Z</dcterms:created>
  <dcterms:modified xsi:type="dcterms:W3CDTF">2025-09-25T17:10:00Z</dcterms:modified>
</cp:coreProperties>
</file>