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521FE" w14:textId="0BCA1B6E" w:rsidR="003D6969" w:rsidRPr="00D36FFD" w:rsidRDefault="003D6969" w:rsidP="003D6969">
      <w:pPr>
        <w:spacing w:after="0" w:line="240" w:lineRule="atLeast"/>
        <w:jc w:val="center"/>
        <w:rPr>
          <w:rFonts w:ascii="Cambria" w:hAnsi="Cambria"/>
          <w:b/>
          <w:bCs/>
          <w:sz w:val="26"/>
          <w:szCs w:val="26"/>
          <w:lang w:val="es-DO"/>
        </w:rPr>
      </w:pPr>
      <w:r w:rsidRPr="00D36FFD">
        <w:rPr>
          <w:rFonts w:ascii="Cambria" w:hAnsi="Cambria"/>
          <w:b/>
          <w:bCs/>
          <w:sz w:val="26"/>
          <w:szCs w:val="26"/>
          <w:lang w:val="es-DO"/>
        </w:rPr>
        <w:t>Nota de Prensa</w:t>
      </w:r>
    </w:p>
    <w:p w14:paraId="7825C2EB" w14:textId="77777777" w:rsidR="003D6969" w:rsidRPr="003D6969" w:rsidRDefault="003D6969" w:rsidP="003D6969">
      <w:pPr>
        <w:spacing w:after="0" w:line="240" w:lineRule="atLeast"/>
        <w:jc w:val="center"/>
        <w:rPr>
          <w:rFonts w:ascii="Cambria" w:hAnsi="Cambria"/>
          <w:b/>
          <w:bCs/>
          <w:sz w:val="26"/>
          <w:szCs w:val="26"/>
          <w:lang w:val="es-DO"/>
        </w:rPr>
      </w:pPr>
    </w:p>
    <w:p w14:paraId="5BB3B3AC" w14:textId="77777777" w:rsidR="003D6969" w:rsidRPr="003D6969" w:rsidRDefault="003D6969" w:rsidP="003D6969">
      <w:pPr>
        <w:spacing w:after="0" w:line="240" w:lineRule="atLeast"/>
        <w:jc w:val="center"/>
        <w:rPr>
          <w:rFonts w:ascii="Cambria" w:hAnsi="Cambria"/>
          <w:b/>
          <w:bCs/>
          <w:sz w:val="26"/>
          <w:szCs w:val="26"/>
          <w:lang w:val="es-DO"/>
        </w:rPr>
      </w:pPr>
      <w:r w:rsidRPr="003D6969">
        <w:rPr>
          <w:rFonts w:ascii="Cambria" w:hAnsi="Cambria"/>
          <w:b/>
          <w:bCs/>
          <w:sz w:val="26"/>
          <w:szCs w:val="26"/>
          <w:lang w:val="es-DO"/>
        </w:rPr>
        <w:t>CARD celebra convocator</w:t>
      </w:r>
      <w:r w:rsidRPr="00D36FFD">
        <w:rPr>
          <w:rFonts w:ascii="Cambria" w:hAnsi="Cambria"/>
          <w:b/>
          <w:bCs/>
          <w:sz w:val="26"/>
          <w:szCs w:val="26"/>
          <w:lang w:val="es-DO"/>
        </w:rPr>
        <w:t>ia del CNM y exige un proceso transparente para renovar la Suprema Corte de Justicia</w:t>
      </w:r>
    </w:p>
    <w:p w14:paraId="1800A288" w14:textId="77777777" w:rsidR="003D6969" w:rsidRPr="003D6969" w:rsidRDefault="003D6969" w:rsidP="003D6969">
      <w:pPr>
        <w:spacing w:after="0" w:line="240" w:lineRule="atLeast"/>
        <w:jc w:val="center"/>
        <w:rPr>
          <w:rFonts w:ascii="Cambria" w:hAnsi="Cambria"/>
          <w:b/>
          <w:bCs/>
          <w:sz w:val="26"/>
          <w:szCs w:val="26"/>
          <w:lang w:val="es-DO"/>
        </w:rPr>
      </w:pPr>
    </w:p>
    <w:p w14:paraId="6B67F519" w14:textId="77777777" w:rsidR="003D6969" w:rsidRPr="003D6969" w:rsidRDefault="003D6969" w:rsidP="003D6969">
      <w:pPr>
        <w:spacing w:after="0" w:line="240" w:lineRule="atLeast"/>
        <w:jc w:val="center"/>
        <w:rPr>
          <w:rFonts w:ascii="Cambria" w:hAnsi="Cambria"/>
          <w:b/>
          <w:bCs/>
          <w:sz w:val="26"/>
          <w:szCs w:val="26"/>
          <w:lang w:val="es-DO"/>
        </w:rPr>
      </w:pPr>
      <w:bookmarkStart w:id="0" w:name="_Hlk236388768"/>
      <w:r w:rsidRPr="003D6969">
        <w:rPr>
          <w:rFonts w:ascii="Cambria" w:hAnsi="Cambria"/>
          <w:b/>
          <w:bCs/>
          <w:sz w:val="26"/>
          <w:szCs w:val="26"/>
          <w:lang w:val="es-DO"/>
        </w:rPr>
        <w:t>CARD sugiere al presidente Henri Molina desistir del continuismo y jugar un rol de equilibrio institucional</w:t>
      </w:r>
    </w:p>
    <w:p w14:paraId="0E32BB0B" w14:textId="77777777" w:rsidR="003D6969" w:rsidRPr="003D6969" w:rsidRDefault="003D6969" w:rsidP="003D6969">
      <w:pPr>
        <w:spacing w:after="0" w:line="240" w:lineRule="atLeast"/>
        <w:jc w:val="center"/>
        <w:rPr>
          <w:rFonts w:ascii="Cambria" w:hAnsi="Cambria"/>
          <w:b/>
          <w:bCs/>
          <w:sz w:val="26"/>
          <w:szCs w:val="26"/>
          <w:lang w:val="es-DO"/>
        </w:rPr>
      </w:pPr>
    </w:p>
    <w:bookmarkEnd w:id="0"/>
    <w:p w14:paraId="2FDC56B7" w14:textId="77777777" w:rsidR="003D6969" w:rsidRPr="003D6969" w:rsidRDefault="003D6969" w:rsidP="003D6969">
      <w:pPr>
        <w:spacing w:after="0" w:line="240" w:lineRule="atLeast"/>
        <w:jc w:val="both"/>
        <w:rPr>
          <w:rFonts w:ascii="Cambria" w:hAnsi="Cambria"/>
          <w:sz w:val="26"/>
          <w:szCs w:val="26"/>
          <w:lang w:val="es-DO"/>
        </w:rPr>
      </w:pPr>
      <w:r w:rsidRPr="00D36FFD">
        <w:rPr>
          <w:rFonts w:ascii="Cambria" w:hAnsi="Cambria"/>
          <w:b/>
          <w:bCs/>
          <w:sz w:val="26"/>
          <w:szCs w:val="26"/>
          <w:lang w:val="es-MX"/>
        </w:rPr>
        <w:t>Santo Domingo, República Dominicana 31 de julio de 2026</w:t>
      </w:r>
      <w:r w:rsidRPr="00D36FFD">
        <w:rPr>
          <w:rFonts w:ascii="Cambria" w:hAnsi="Cambria"/>
          <w:b/>
          <w:bCs/>
          <w:sz w:val="26"/>
          <w:szCs w:val="26"/>
          <w:lang w:val="es-DO"/>
        </w:rPr>
        <w:t xml:space="preserve">.- </w:t>
      </w:r>
      <w:r w:rsidRPr="00D36FFD">
        <w:rPr>
          <w:rFonts w:ascii="Cambria" w:hAnsi="Cambria"/>
          <w:sz w:val="26"/>
          <w:szCs w:val="26"/>
          <w:lang w:val="es-DO"/>
        </w:rPr>
        <w:t>El presidente del Colegio de Abogados de la República Dominicana (CARD), Trajano Potentini, valoró como un paso positivo la convocatoria realizada por el presidente de la República y presidente del Consejo Nacional de la Magistratura (CNM), Luis Abinader, para iniciar el proceso de evaluación y eventual renovación de los jueces de la Suprema Corte de Justicia.</w:t>
      </w:r>
    </w:p>
    <w:p w14:paraId="32F780B9" w14:textId="77777777" w:rsidR="003D6969" w:rsidRPr="00D36FFD" w:rsidRDefault="003D6969" w:rsidP="003D6969">
      <w:pPr>
        <w:spacing w:after="0" w:line="240" w:lineRule="atLeast"/>
        <w:jc w:val="both"/>
        <w:rPr>
          <w:rFonts w:ascii="Cambria" w:hAnsi="Cambria"/>
          <w:sz w:val="26"/>
          <w:szCs w:val="26"/>
          <w:lang w:val="es-DO"/>
        </w:rPr>
      </w:pPr>
    </w:p>
    <w:p w14:paraId="5C1215AB" w14:textId="77777777" w:rsidR="003D6969" w:rsidRPr="003D6969" w:rsidRDefault="003D6969" w:rsidP="003D6969">
      <w:pPr>
        <w:spacing w:after="0" w:line="240" w:lineRule="atLeast"/>
        <w:jc w:val="both"/>
        <w:rPr>
          <w:rFonts w:ascii="Cambria" w:hAnsi="Cambria"/>
          <w:sz w:val="26"/>
          <w:szCs w:val="26"/>
          <w:lang w:val="es-DO"/>
        </w:rPr>
      </w:pPr>
      <w:r w:rsidRPr="00D36FFD">
        <w:rPr>
          <w:rFonts w:ascii="Cambria" w:hAnsi="Cambria"/>
          <w:sz w:val="26"/>
          <w:szCs w:val="26"/>
          <w:lang w:val="es-DO"/>
        </w:rPr>
        <w:t>Potentini sostuvo que el máximo gremio de los abogados celebra que finalmente se active el órgano constitucional llamado a cumplir con esta responsabilidad, al tiempo que recordó que corresponde evaluar a once magistrados de la Suprema Corte de Justicia, incluyendo a su presidente, Luis Henry Molina.</w:t>
      </w:r>
    </w:p>
    <w:p w14:paraId="3CD62081" w14:textId="77777777" w:rsidR="003D6969" w:rsidRPr="00D36FFD" w:rsidRDefault="003D6969" w:rsidP="003D6969">
      <w:pPr>
        <w:spacing w:after="0" w:line="240" w:lineRule="atLeast"/>
        <w:jc w:val="both"/>
        <w:rPr>
          <w:rFonts w:ascii="Cambria" w:hAnsi="Cambria"/>
          <w:sz w:val="26"/>
          <w:szCs w:val="26"/>
          <w:lang w:val="es-DO"/>
        </w:rPr>
      </w:pPr>
    </w:p>
    <w:p w14:paraId="7DA9D777" w14:textId="77777777" w:rsidR="003D6969" w:rsidRPr="003D6969" w:rsidRDefault="003D6969" w:rsidP="003D6969">
      <w:pPr>
        <w:spacing w:after="0" w:line="240" w:lineRule="atLeast"/>
        <w:jc w:val="both"/>
        <w:rPr>
          <w:rFonts w:ascii="Cambria" w:hAnsi="Cambria"/>
          <w:sz w:val="26"/>
          <w:szCs w:val="26"/>
          <w:lang w:val="es-DO"/>
        </w:rPr>
      </w:pPr>
      <w:r w:rsidRPr="00D36FFD">
        <w:rPr>
          <w:rFonts w:ascii="Cambria" w:hAnsi="Cambria"/>
          <w:sz w:val="26"/>
          <w:szCs w:val="26"/>
          <w:lang w:val="es-DO"/>
        </w:rPr>
        <w:t>En ese contexto, el presidente del CARD planteó la necesidad de revisar el actual esquema mediante el cual el presidente de la Suprema Corte de Justicia participa como miembro del Consejo Nacional de la Magistratura mientras también es objeto de evaluación, situación que, a su juicio, genera un escenario de “juez y parte” que afecta la percepción de imparcialidad del proceso.</w:t>
      </w:r>
    </w:p>
    <w:p w14:paraId="77BBF1EE" w14:textId="77777777" w:rsidR="003D6969" w:rsidRPr="00D36FFD" w:rsidRDefault="003D6969" w:rsidP="003D6969">
      <w:pPr>
        <w:spacing w:after="0" w:line="240" w:lineRule="atLeast"/>
        <w:jc w:val="both"/>
        <w:rPr>
          <w:rFonts w:ascii="Cambria" w:hAnsi="Cambria"/>
          <w:sz w:val="26"/>
          <w:szCs w:val="26"/>
          <w:lang w:val="es-DO"/>
        </w:rPr>
      </w:pPr>
    </w:p>
    <w:p w14:paraId="003D217D" w14:textId="77777777" w:rsidR="003D6969" w:rsidRPr="003D6969" w:rsidRDefault="003D6969" w:rsidP="003D6969">
      <w:pPr>
        <w:spacing w:after="0" w:line="240" w:lineRule="atLeast"/>
        <w:jc w:val="both"/>
        <w:rPr>
          <w:rFonts w:ascii="Cambria" w:hAnsi="Cambria"/>
          <w:b/>
          <w:bCs/>
          <w:sz w:val="26"/>
          <w:szCs w:val="26"/>
          <w:lang w:val="es-DO"/>
        </w:rPr>
      </w:pPr>
      <w:r w:rsidRPr="003D6969">
        <w:rPr>
          <w:rFonts w:ascii="Cambria" w:hAnsi="Cambria"/>
          <w:b/>
          <w:bCs/>
          <w:sz w:val="26"/>
          <w:szCs w:val="26"/>
          <w:lang w:val="es-DO"/>
        </w:rPr>
        <w:t>CARD sugiere al presidente Henri Molina desistir del continuismo y jugar un rol de equilibrio institucional.</w:t>
      </w:r>
    </w:p>
    <w:p w14:paraId="443A6CC9" w14:textId="77777777" w:rsidR="003D6969" w:rsidRPr="003D6969" w:rsidRDefault="003D6969" w:rsidP="003D6969">
      <w:pPr>
        <w:spacing w:after="0" w:line="240" w:lineRule="atLeast"/>
        <w:jc w:val="both"/>
        <w:rPr>
          <w:rFonts w:ascii="Cambria" w:hAnsi="Cambria"/>
          <w:b/>
          <w:bCs/>
          <w:sz w:val="26"/>
          <w:szCs w:val="26"/>
          <w:lang w:val="es-DO"/>
        </w:rPr>
      </w:pPr>
    </w:p>
    <w:p w14:paraId="106C3397" w14:textId="77777777" w:rsidR="003D6969" w:rsidRPr="003D6969" w:rsidRDefault="003D6969" w:rsidP="003D6969">
      <w:pPr>
        <w:spacing w:after="0" w:line="240" w:lineRule="atLeast"/>
        <w:jc w:val="both"/>
        <w:rPr>
          <w:rFonts w:ascii="Cambria" w:hAnsi="Cambria"/>
          <w:sz w:val="26"/>
          <w:szCs w:val="26"/>
          <w:lang w:val="es-DO"/>
        </w:rPr>
      </w:pPr>
      <w:r w:rsidRPr="00D36FFD">
        <w:rPr>
          <w:rFonts w:ascii="Cambria" w:hAnsi="Cambria"/>
          <w:sz w:val="26"/>
          <w:szCs w:val="26"/>
          <w:lang w:val="es-DO"/>
        </w:rPr>
        <w:t xml:space="preserve">“Esperamos que el magistrado Luis Henry Molina </w:t>
      </w:r>
      <w:r w:rsidRPr="003D6969">
        <w:rPr>
          <w:rFonts w:ascii="Cambria" w:hAnsi="Cambria"/>
          <w:sz w:val="26"/>
          <w:szCs w:val="26"/>
          <w:lang w:val="es-DO"/>
        </w:rPr>
        <w:t xml:space="preserve">desiste del propósito del continuismo y </w:t>
      </w:r>
      <w:r w:rsidRPr="00D36FFD">
        <w:rPr>
          <w:rFonts w:ascii="Cambria" w:hAnsi="Cambria"/>
          <w:sz w:val="26"/>
          <w:szCs w:val="26"/>
          <w:lang w:val="es-DO"/>
        </w:rPr>
        <w:t>se concentre en desempeñar el papel institucional que le corresponde dentro del Consejo Nacional de la Magistratura y se preserve el equilibrio que demanda un proceso de esta naturaleza”, expresó.</w:t>
      </w:r>
    </w:p>
    <w:p w14:paraId="2203DE2E" w14:textId="77777777" w:rsidR="003D6969" w:rsidRPr="00D36FFD" w:rsidRDefault="003D6969" w:rsidP="003D6969">
      <w:pPr>
        <w:spacing w:after="0" w:line="240" w:lineRule="atLeast"/>
        <w:jc w:val="both"/>
        <w:rPr>
          <w:rFonts w:ascii="Cambria" w:hAnsi="Cambria"/>
          <w:sz w:val="26"/>
          <w:szCs w:val="26"/>
          <w:lang w:val="es-DO"/>
        </w:rPr>
      </w:pPr>
    </w:p>
    <w:p w14:paraId="096F58A4" w14:textId="77777777" w:rsidR="003D6969" w:rsidRPr="003D6969" w:rsidRDefault="003D6969" w:rsidP="003D6969">
      <w:pPr>
        <w:spacing w:after="0" w:line="240" w:lineRule="atLeast"/>
        <w:jc w:val="both"/>
        <w:rPr>
          <w:rFonts w:ascii="Cambria" w:hAnsi="Cambria"/>
          <w:sz w:val="26"/>
          <w:szCs w:val="26"/>
          <w:lang w:val="es-DO"/>
        </w:rPr>
      </w:pPr>
      <w:r w:rsidRPr="00D36FFD">
        <w:rPr>
          <w:rFonts w:ascii="Cambria" w:hAnsi="Cambria"/>
          <w:sz w:val="26"/>
          <w:szCs w:val="26"/>
          <w:lang w:val="es-DO"/>
        </w:rPr>
        <w:t>Potentini afirmó que la evaluación del presidente de la Suprema debe centrarse principalmente en su gestión administrativa, más que en su desempeño jurisdiccional, debido a que sus funciones judiciales han sido limitadas. En ese sentido, señaló que existen aspectos que deberán ser ponderados durante el proceso, entre ellos las reiteradas huelgas de jueces, el incremento de la mora judicial y las dificultades registradas en importantes proyectos de infraestructura del Poder Judicial, como la denominada Ciudad Judicial.</w:t>
      </w:r>
    </w:p>
    <w:p w14:paraId="0FA83B76" w14:textId="77777777" w:rsidR="003D6969" w:rsidRPr="00D36FFD" w:rsidRDefault="003D6969" w:rsidP="003D6969">
      <w:pPr>
        <w:spacing w:after="0" w:line="240" w:lineRule="atLeast"/>
        <w:jc w:val="both"/>
        <w:rPr>
          <w:rFonts w:ascii="Cambria" w:hAnsi="Cambria"/>
          <w:sz w:val="26"/>
          <w:szCs w:val="26"/>
          <w:lang w:val="es-DO"/>
        </w:rPr>
      </w:pPr>
    </w:p>
    <w:p w14:paraId="43FDD3F7" w14:textId="77777777" w:rsidR="003D6969" w:rsidRPr="003D6969" w:rsidRDefault="003D6969" w:rsidP="003D6969">
      <w:pPr>
        <w:spacing w:after="0" w:line="240" w:lineRule="atLeast"/>
        <w:jc w:val="both"/>
        <w:rPr>
          <w:rFonts w:ascii="Cambria" w:hAnsi="Cambria"/>
          <w:sz w:val="26"/>
          <w:szCs w:val="26"/>
          <w:lang w:val="es-DO"/>
        </w:rPr>
      </w:pPr>
      <w:r w:rsidRPr="00D36FFD">
        <w:rPr>
          <w:rFonts w:ascii="Cambria" w:hAnsi="Cambria"/>
          <w:sz w:val="26"/>
          <w:szCs w:val="26"/>
          <w:lang w:val="es-DO"/>
        </w:rPr>
        <w:t>Asimismo, hizo un llamado para que las evaluaciones se desarrollen bajo criterios de apertura, transparencia y participación ciudadana, garantizando la confianza pública en las decisiones que adopte el Consejo Nacional de la Magistratura.</w:t>
      </w:r>
    </w:p>
    <w:p w14:paraId="7BB98A1C" w14:textId="77777777" w:rsidR="003D6969" w:rsidRPr="00D36FFD" w:rsidRDefault="003D6969" w:rsidP="003D6969">
      <w:pPr>
        <w:spacing w:after="0" w:line="240" w:lineRule="atLeast"/>
        <w:jc w:val="both"/>
        <w:rPr>
          <w:rFonts w:ascii="Cambria" w:hAnsi="Cambria"/>
          <w:sz w:val="26"/>
          <w:szCs w:val="26"/>
          <w:lang w:val="es-DO"/>
        </w:rPr>
      </w:pPr>
    </w:p>
    <w:p w14:paraId="17F45D25" w14:textId="77777777" w:rsidR="003D6969" w:rsidRPr="003D6969" w:rsidRDefault="003D6969" w:rsidP="003D6969">
      <w:pPr>
        <w:spacing w:after="0" w:line="240" w:lineRule="atLeast"/>
        <w:jc w:val="both"/>
        <w:rPr>
          <w:rFonts w:ascii="Cambria" w:hAnsi="Cambria"/>
          <w:sz w:val="26"/>
          <w:szCs w:val="26"/>
          <w:lang w:val="es-DO"/>
        </w:rPr>
      </w:pPr>
      <w:r w:rsidRPr="00D36FFD">
        <w:rPr>
          <w:rFonts w:ascii="Cambria" w:hAnsi="Cambria"/>
          <w:sz w:val="26"/>
          <w:szCs w:val="26"/>
          <w:lang w:val="es-DO"/>
        </w:rPr>
        <w:t>El presidente del Colegio de Abogados también abogó por que, por primera vez, la presidencia de la Suprema Corte de Justicia recaiga en un juez de carrera, destacando que dentro del Poder Judicial existen magistrados con la experiencia, trayectoria y méritos suficientes para asumir esa responsabilidad.</w:t>
      </w:r>
      <w:r w:rsidRPr="003D6969">
        <w:rPr>
          <w:rFonts w:ascii="Cambria" w:hAnsi="Cambria"/>
          <w:sz w:val="26"/>
          <w:szCs w:val="26"/>
          <w:lang w:val="es-DO"/>
        </w:rPr>
        <w:t xml:space="preserve"> </w:t>
      </w:r>
      <w:r w:rsidRPr="00D36FFD">
        <w:rPr>
          <w:rFonts w:ascii="Cambria" w:hAnsi="Cambria"/>
          <w:sz w:val="26"/>
          <w:szCs w:val="26"/>
          <w:lang w:val="es-DO"/>
        </w:rPr>
        <w:t>“Es momento de valorar la carrera judicial y permitir que un juez formado dentro del sistema pueda dirigir la Suprema Corte de Justicia”, manifestó.</w:t>
      </w:r>
    </w:p>
    <w:p w14:paraId="14A6096B" w14:textId="77777777" w:rsidR="003D6969" w:rsidRPr="00D36FFD" w:rsidRDefault="003D6969" w:rsidP="003D6969">
      <w:pPr>
        <w:spacing w:after="0" w:line="240" w:lineRule="atLeast"/>
        <w:jc w:val="both"/>
        <w:rPr>
          <w:rFonts w:ascii="Cambria" w:hAnsi="Cambria"/>
          <w:sz w:val="26"/>
          <w:szCs w:val="26"/>
          <w:lang w:val="es-DO"/>
        </w:rPr>
      </w:pPr>
    </w:p>
    <w:p w14:paraId="40C41175" w14:textId="77777777" w:rsidR="003D6969" w:rsidRPr="003D6969" w:rsidRDefault="003D6969" w:rsidP="003D6969">
      <w:pPr>
        <w:spacing w:after="0" w:line="240" w:lineRule="atLeast"/>
        <w:jc w:val="both"/>
        <w:rPr>
          <w:rFonts w:ascii="Cambria" w:hAnsi="Cambria"/>
          <w:sz w:val="26"/>
          <w:szCs w:val="26"/>
          <w:lang w:val="es-DO"/>
        </w:rPr>
      </w:pPr>
      <w:r w:rsidRPr="00D36FFD">
        <w:rPr>
          <w:rFonts w:ascii="Cambria" w:hAnsi="Cambria"/>
          <w:sz w:val="26"/>
          <w:szCs w:val="26"/>
          <w:lang w:val="es-DO"/>
        </w:rPr>
        <w:t>Potentini informó que el Colegio de Abogados dará seguimiento permanente a todas las etapas del proceso de evaluación y selección, velando por el fortalecimiento de la institucionalidad y el respeto a los principios constitucionales.</w:t>
      </w:r>
    </w:p>
    <w:p w14:paraId="3CDE8933" w14:textId="77777777" w:rsidR="003D6969" w:rsidRPr="00D36FFD" w:rsidRDefault="003D6969" w:rsidP="003D6969">
      <w:pPr>
        <w:spacing w:after="0" w:line="240" w:lineRule="atLeast"/>
        <w:jc w:val="both"/>
        <w:rPr>
          <w:rFonts w:ascii="Cambria" w:hAnsi="Cambria"/>
          <w:sz w:val="26"/>
          <w:szCs w:val="26"/>
          <w:lang w:val="es-DO"/>
        </w:rPr>
      </w:pPr>
    </w:p>
    <w:p w14:paraId="40423F3F" w14:textId="77777777" w:rsidR="003D6969" w:rsidRPr="00D36FFD" w:rsidRDefault="003D6969" w:rsidP="003D6969">
      <w:pPr>
        <w:spacing w:after="0" w:line="240" w:lineRule="atLeast"/>
        <w:jc w:val="both"/>
        <w:rPr>
          <w:rFonts w:ascii="Cambria" w:hAnsi="Cambria"/>
          <w:sz w:val="26"/>
          <w:szCs w:val="26"/>
          <w:lang w:val="es-DO"/>
        </w:rPr>
      </w:pPr>
      <w:r w:rsidRPr="00D36FFD">
        <w:rPr>
          <w:rFonts w:ascii="Cambria" w:hAnsi="Cambria"/>
          <w:sz w:val="26"/>
          <w:szCs w:val="26"/>
          <w:lang w:val="es-DO"/>
        </w:rPr>
        <w:t>Finalmente, lamentó el retraso acumulado en la convocatoria del Consejo Nacional de la Magistratura, al considerar que no resulta razonable prolongar durante meses la permanencia de jueces cuyo período ya debía ser objeto de evaluación.</w:t>
      </w:r>
      <w:r w:rsidRPr="003D6969">
        <w:rPr>
          <w:rFonts w:ascii="Cambria" w:hAnsi="Cambria"/>
          <w:sz w:val="26"/>
          <w:szCs w:val="26"/>
          <w:lang w:val="es-DO"/>
        </w:rPr>
        <w:t xml:space="preserve"> </w:t>
      </w:r>
      <w:r w:rsidRPr="00D36FFD">
        <w:rPr>
          <w:rFonts w:ascii="Cambria" w:hAnsi="Cambria"/>
          <w:sz w:val="26"/>
          <w:szCs w:val="26"/>
          <w:lang w:val="es-DO"/>
        </w:rPr>
        <w:t>“Estamos hablando de uno de los tres poderes del Estado. No se justifica que un proceso de esta importancia permanezca postergado, afectando tanto a los magistrados que deben ser evaluados como a quienes aspiran a integrar la Suprema Corte de Justicia. Debemos superar la práctica de aplazar estas decisiones y fortalecer la institucionalidad democrática”, concluyó Potentini.</w:t>
      </w:r>
    </w:p>
    <w:p w14:paraId="488125EF" w14:textId="77777777" w:rsidR="003D6969" w:rsidRPr="003D6969" w:rsidRDefault="003D6969" w:rsidP="003D6969">
      <w:pPr>
        <w:spacing w:after="0" w:line="240" w:lineRule="atLeast"/>
        <w:jc w:val="both"/>
        <w:rPr>
          <w:rFonts w:ascii="Cambria" w:hAnsi="Cambria"/>
          <w:sz w:val="26"/>
          <w:szCs w:val="26"/>
          <w:lang w:val="es-DO"/>
        </w:rPr>
      </w:pPr>
    </w:p>
    <w:p w14:paraId="0146966B" w14:textId="0EACE0FA" w:rsidR="00492779" w:rsidRPr="003D6969" w:rsidRDefault="00F70B01" w:rsidP="00D973F9">
      <w:pPr>
        <w:spacing w:after="0" w:line="240" w:lineRule="atLeast"/>
        <w:jc w:val="center"/>
        <w:rPr>
          <w:rFonts w:ascii="Cambria" w:hAnsi="Cambria" w:cstheme="minorHAnsi"/>
          <w:sz w:val="26"/>
          <w:szCs w:val="26"/>
        </w:rPr>
      </w:pPr>
      <w:r w:rsidRPr="003D6969">
        <w:rPr>
          <w:rFonts w:ascii="Cambria" w:eastAsia="Times New Roman" w:hAnsi="Cambria" w:cstheme="minorHAnsi"/>
          <w:b/>
          <w:bCs/>
          <w:color w:val="222222"/>
          <w:kern w:val="0"/>
          <w:sz w:val="26"/>
          <w:szCs w:val="26"/>
          <w:lang w:val="es-DO"/>
          <w14:ligatures w14:val="none"/>
        </w:rPr>
        <w:t>DEPARTAMENTO DE COMUNICACIONES</w:t>
      </w:r>
    </w:p>
    <w:sectPr w:rsidR="00492779" w:rsidRPr="003D6969"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53106" w14:textId="77777777" w:rsidR="00F20DA3" w:rsidRDefault="00F20DA3" w:rsidP="007867B1">
      <w:pPr>
        <w:spacing w:after="0" w:line="240" w:lineRule="auto"/>
      </w:pPr>
      <w:r>
        <w:separator/>
      </w:r>
    </w:p>
  </w:endnote>
  <w:endnote w:type="continuationSeparator" w:id="0">
    <w:p w14:paraId="331FE046" w14:textId="77777777" w:rsidR="00F20DA3" w:rsidRDefault="00F20DA3"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64AC0" w14:textId="77777777" w:rsidR="00F20DA3" w:rsidRDefault="00F20DA3" w:rsidP="007867B1">
      <w:pPr>
        <w:spacing w:after="0" w:line="240" w:lineRule="auto"/>
      </w:pPr>
      <w:r>
        <w:separator/>
      </w:r>
    </w:p>
  </w:footnote>
  <w:footnote w:type="continuationSeparator" w:id="0">
    <w:p w14:paraId="1E9BEC0A" w14:textId="77777777" w:rsidR="00F20DA3" w:rsidRDefault="00F20DA3"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4C429771" w:rsidR="007867B1" w:rsidRPr="009D7DF7" w:rsidRDefault="00E0459C"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237858967"/>
        <w:docPartObj>
          <w:docPartGallery w:val="Page Numbers (Margins)"/>
          <w:docPartUnique/>
        </w:docPartObj>
      </w:sdtPr>
      <w:sdtEndPr/>
      <w:sdtContent>
        <w:r w:rsidR="00893EC9" w:rsidRPr="00893EC9">
          <w:rPr>
            <w:rFonts w:ascii="Arial" w:hAnsi="Arial" w:cs="Arial"/>
            <w:b/>
            <w:bCs/>
            <w:noProof/>
            <w:color w:val="2F5496" w:themeColor="accent1" w:themeShade="BF"/>
            <w:sz w:val="28"/>
            <w:szCs w:val="28"/>
          </w:rPr>
          <mc:AlternateContent>
            <mc:Choice Requires="wps">
              <w:drawing>
                <wp:anchor distT="0" distB="0" distL="114300" distR="114300" simplePos="0" relativeHeight="251663360" behindDoc="0" locked="0" layoutInCell="0" allowOverlap="1" wp14:anchorId="1264EEE3" wp14:editId="42A7D7A5">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D4684" w14:textId="77777777" w:rsidR="00893EC9" w:rsidRDefault="00893EC9">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264EEE3"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" o:allowincell="f" filled="f" stroked="f">
                  <v:textbox style="layout-flow:vertical;mso-layout-flow-alt:bottom-to-top;mso-fit-shape-to-text:t">
                    <w:txbxContent>
                      <w:p w14:paraId="452D4684" w14:textId="77777777" w:rsidR="00893EC9" w:rsidRDefault="00893EC9">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00CA1"/>
    <w:rsid w:val="0000203B"/>
    <w:rsid w:val="0001793B"/>
    <w:rsid w:val="00025566"/>
    <w:rsid w:val="00064F14"/>
    <w:rsid w:val="00067062"/>
    <w:rsid w:val="000F0AD4"/>
    <w:rsid w:val="000F3CDF"/>
    <w:rsid w:val="001131F9"/>
    <w:rsid w:val="00186182"/>
    <w:rsid w:val="001B64D3"/>
    <w:rsid w:val="002217BC"/>
    <w:rsid w:val="00236116"/>
    <w:rsid w:val="0025457C"/>
    <w:rsid w:val="00257966"/>
    <w:rsid w:val="002665D8"/>
    <w:rsid w:val="00277AB7"/>
    <w:rsid w:val="00286A08"/>
    <w:rsid w:val="00287E44"/>
    <w:rsid w:val="002C6313"/>
    <w:rsid w:val="002D3EA6"/>
    <w:rsid w:val="002E28C4"/>
    <w:rsid w:val="002F70E5"/>
    <w:rsid w:val="00300F53"/>
    <w:rsid w:val="00344CF6"/>
    <w:rsid w:val="00353100"/>
    <w:rsid w:val="00363BB4"/>
    <w:rsid w:val="0036619F"/>
    <w:rsid w:val="00371607"/>
    <w:rsid w:val="00383543"/>
    <w:rsid w:val="00396541"/>
    <w:rsid w:val="003D19D6"/>
    <w:rsid w:val="003D6969"/>
    <w:rsid w:val="003E588D"/>
    <w:rsid w:val="003F6C76"/>
    <w:rsid w:val="004014BB"/>
    <w:rsid w:val="004201B9"/>
    <w:rsid w:val="0043250E"/>
    <w:rsid w:val="00451D15"/>
    <w:rsid w:val="00453DD8"/>
    <w:rsid w:val="00481B0B"/>
    <w:rsid w:val="004907FC"/>
    <w:rsid w:val="00492779"/>
    <w:rsid w:val="004B3774"/>
    <w:rsid w:val="004D05D4"/>
    <w:rsid w:val="00506994"/>
    <w:rsid w:val="0051721A"/>
    <w:rsid w:val="00517A1B"/>
    <w:rsid w:val="005741DB"/>
    <w:rsid w:val="00590503"/>
    <w:rsid w:val="005A154A"/>
    <w:rsid w:val="005E2715"/>
    <w:rsid w:val="005F3F6D"/>
    <w:rsid w:val="00601A76"/>
    <w:rsid w:val="00602A9E"/>
    <w:rsid w:val="00643BDF"/>
    <w:rsid w:val="00647439"/>
    <w:rsid w:val="006D2462"/>
    <w:rsid w:val="00721ED8"/>
    <w:rsid w:val="00743EC2"/>
    <w:rsid w:val="007867B1"/>
    <w:rsid w:val="007F6BA3"/>
    <w:rsid w:val="007F7315"/>
    <w:rsid w:val="00814828"/>
    <w:rsid w:val="008224DB"/>
    <w:rsid w:val="0084279F"/>
    <w:rsid w:val="008525E7"/>
    <w:rsid w:val="00867BC0"/>
    <w:rsid w:val="00873EDE"/>
    <w:rsid w:val="0087762C"/>
    <w:rsid w:val="00882A0A"/>
    <w:rsid w:val="00885309"/>
    <w:rsid w:val="00893EC9"/>
    <w:rsid w:val="008D2279"/>
    <w:rsid w:val="008D42E9"/>
    <w:rsid w:val="008F23B4"/>
    <w:rsid w:val="0091736B"/>
    <w:rsid w:val="00942224"/>
    <w:rsid w:val="009735C5"/>
    <w:rsid w:val="009944DE"/>
    <w:rsid w:val="009D7DF7"/>
    <w:rsid w:val="00A1064F"/>
    <w:rsid w:val="00A10711"/>
    <w:rsid w:val="00A116FF"/>
    <w:rsid w:val="00A172E8"/>
    <w:rsid w:val="00AA4452"/>
    <w:rsid w:val="00B1100E"/>
    <w:rsid w:val="00B43658"/>
    <w:rsid w:val="00B97452"/>
    <w:rsid w:val="00BD56F7"/>
    <w:rsid w:val="00BE00D3"/>
    <w:rsid w:val="00C464A1"/>
    <w:rsid w:val="00C509AA"/>
    <w:rsid w:val="00C54404"/>
    <w:rsid w:val="00C63222"/>
    <w:rsid w:val="00C812B4"/>
    <w:rsid w:val="00CA13C5"/>
    <w:rsid w:val="00CA23D1"/>
    <w:rsid w:val="00CD691D"/>
    <w:rsid w:val="00CF21D2"/>
    <w:rsid w:val="00D106BA"/>
    <w:rsid w:val="00D3101D"/>
    <w:rsid w:val="00D47964"/>
    <w:rsid w:val="00D510A7"/>
    <w:rsid w:val="00D564DD"/>
    <w:rsid w:val="00D92972"/>
    <w:rsid w:val="00D93A45"/>
    <w:rsid w:val="00D93AE9"/>
    <w:rsid w:val="00D973F9"/>
    <w:rsid w:val="00DB36B6"/>
    <w:rsid w:val="00DD44F4"/>
    <w:rsid w:val="00DE2866"/>
    <w:rsid w:val="00DF78AE"/>
    <w:rsid w:val="00E0459C"/>
    <w:rsid w:val="00E12D97"/>
    <w:rsid w:val="00E4388D"/>
    <w:rsid w:val="00E509CD"/>
    <w:rsid w:val="00E618F5"/>
    <w:rsid w:val="00E75309"/>
    <w:rsid w:val="00E84C64"/>
    <w:rsid w:val="00EB77E9"/>
    <w:rsid w:val="00EC1D8B"/>
    <w:rsid w:val="00F20DA3"/>
    <w:rsid w:val="00F307B9"/>
    <w:rsid w:val="00F6030C"/>
    <w:rsid w:val="00F70B01"/>
    <w:rsid w:val="00FE74F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8F23B4"/>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 w:type="character" w:customStyle="1" w:styleId="Ttulo1Car">
    <w:name w:val="Título 1 Car"/>
    <w:basedOn w:val="Fuentedeprrafopredeter"/>
    <w:link w:val="Ttulo1"/>
    <w:uiPriority w:val="9"/>
    <w:rsid w:val="008F23B4"/>
    <w:rPr>
      <w:rFonts w:asciiTheme="majorHAnsi" w:eastAsiaTheme="majorEastAsia" w:hAnsiTheme="majorHAnsi" w:cstheme="majorBidi"/>
      <w:b/>
      <w:bCs/>
      <w:color w:val="2F5496" w:themeColor="accent1" w:themeShade="BF"/>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589</Words>
  <Characters>3245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2</cp:revision>
  <dcterms:created xsi:type="dcterms:W3CDTF">2026-07-31T15:28:00Z</dcterms:created>
  <dcterms:modified xsi:type="dcterms:W3CDTF">2026-07-31T15:28:00Z</dcterms:modified>
</cp:coreProperties>
</file>