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74CC1" w14:textId="77777777" w:rsidR="003556F5" w:rsidRPr="003556F5" w:rsidRDefault="003556F5" w:rsidP="003556F5">
      <w:pPr>
        <w:spacing w:after="0" w:line="240" w:lineRule="atLeast"/>
        <w:jc w:val="center"/>
        <w:rPr>
          <w:rFonts w:ascii="Calibri" w:eastAsia="Times New Roman" w:hAnsi="Calibri" w:cs="Calibri"/>
          <w:kern w:val="0"/>
          <w:lang w:val="es-MX" w:eastAsia="es-MX"/>
          <w14:ligatures w14:val="none"/>
        </w:rPr>
      </w:pPr>
      <w:r w:rsidRPr="003556F5">
        <w:rPr>
          <w:rFonts w:ascii="Cambria" w:eastAsia="Times New Roman" w:hAnsi="Cambria" w:cs="Calibri"/>
          <w:b/>
          <w:bCs/>
          <w:kern w:val="0"/>
          <w:sz w:val="25"/>
          <w:szCs w:val="25"/>
          <w:lang w:val="es-MX" w:eastAsia="es-MX"/>
          <w14:ligatures w14:val="none"/>
        </w:rPr>
        <w:t>NOTA DE PRENSA</w:t>
      </w:r>
    </w:p>
    <w:p w14:paraId="51887296" w14:textId="56936A1F" w:rsidR="003556F5" w:rsidRPr="003556F5" w:rsidRDefault="003556F5" w:rsidP="003556F5">
      <w:pPr>
        <w:spacing w:after="0" w:line="240" w:lineRule="atLeast"/>
        <w:jc w:val="center"/>
        <w:rPr>
          <w:rFonts w:ascii="Calibri" w:eastAsia="Times New Roman" w:hAnsi="Calibri" w:cs="Calibri"/>
          <w:kern w:val="0"/>
          <w:lang w:val="es-MX" w:eastAsia="es-MX"/>
          <w14:ligatures w14:val="none"/>
        </w:rPr>
      </w:pPr>
    </w:p>
    <w:p w14:paraId="7AA0C299" w14:textId="77777777" w:rsidR="003556F5" w:rsidRPr="003556F5" w:rsidRDefault="003556F5" w:rsidP="003556F5">
      <w:pPr>
        <w:spacing w:after="0" w:line="240" w:lineRule="atLeast"/>
        <w:jc w:val="center"/>
        <w:rPr>
          <w:rFonts w:ascii="Calibri" w:eastAsia="Times New Roman" w:hAnsi="Calibri" w:cs="Calibri"/>
          <w:kern w:val="0"/>
          <w:lang w:val="es-MX" w:eastAsia="es-MX"/>
          <w14:ligatures w14:val="none"/>
        </w:rPr>
      </w:pPr>
      <w:r w:rsidRPr="003556F5">
        <w:rPr>
          <w:rFonts w:ascii="Cambria" w:eastAsia="Times New Roman" w:hAnsi="Cambria" w:cs="Calibri"/>
          <w:b/>
          <w:bCs/>
          <w:kern w:val="0"/>
          <w:sz w:val="25"/>
          <w:szCs w:val="25"/>
          <w:lang w:val="es-MX" w:eastAsia="es-MX"/>
          <w14:ligatures w14:val="none"/>
        </w:rPr>
        <w:t xml:space="preserve">CARD pide al gobierno gestionar participación en negociaciones de EE. UU. con César el Abusador para romper ciclo de impunidad en el país </w:t>
      </w:r>
    </w:p>
    <w:p w14:paraId="04566D2F" w14:textId="114D1E63"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02A75275" w14:textId="77777777" w:rsidR="003556F5" w:rsidRPr="003556F5" w:rsidRDefault="003556F5" w:rsidP="003556F5">
      <w:pPr>
        <w:spacing w:after="0" w:line="240" w:lineRule="atLeast"/>
        <w:jc w:val="center"/>
        <w:rPr>
          <w:rFonts w:ascii="Calibri" w:eastAsia="Times New Roman" w:hAnsi="Calibri" w:cs="Calibri"/>
          <w:kern w:val="0"/>
          <w:lang w:val="es-MX" w:eastAsia="es-MX"/>
          <w14:ligatures w14:val="none"/>
        </w:rPr>
      </w:pPr>
      <w:r w:rsidRPr="003556F5">
        <w:rPr>
          <w:rFonts w:ascii="Cambria" w:eastAsia="Times New Roman" w:hAnsi="Cambria" w:cs="Calibri"/>
          <w:b/>
          <w:bCs/>
          <w:kern w:val="0"/>
          <w:sz w:val="25"/>
          <w:szCs w:val="25"/>
          <w:lang w:val="es-MX" w:eastAsia="es-MX"/>
          <w14:ligatures w14:val="none"/>
        </w:rPr>
        <w:t>Colegio de Abogados exige la aplicación inmediata de la Ley 340-22 sobre Extinción de Dominio.</w:t>
      </w:r>
    </w:p>
    <w:p w14:paraId="681316B0" w14:textId="2E125B81" w:rsidR="003556F5" w:rsidRPr="003556F5" w:rsidRDefault="003556F5" w:rsidP="003556F5">
      <w:pPr>
        <w:spacing w:after="0" w:line="240" w:lineRule="atLeast"/>
        <w:jc w:val="center"/>
        <w:rPr>
          <w:rFonts w:ascii="Calibri" w:eastAsia="Times New Roman" w:hAnsi="Calibri" w:cs="Calibri"/>
          <w:kern w:val="0"/>
          <w:lang w:val="es-MX" w:eastAsia="es-MX"/>
          <w14:ligatures w14:val="none"/>
        </w:rPr>
      </w:pPr>
    </w:p>
    <w:p w14:paraId="3F5A4305" w14:textId="77777777"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b/>
          <w:bCs/>
          <w:kern w:val="0"/>
          <w:sz w:val="25"/>
          <w:szCs w:val="25"/>
          <w:lang w:val="es-MX" w:eastAsia="es-MX"/>
          <w14:ligatures w14:val="none"/>
        </w:rPr>
        <w:t>Santo Domingo, República Dominicana -11 de noviembre de 2025.</w:t>
      </w:r>
      <w:r w:rsidRPr="003556F5">
        <w:rPr>
          <w:rFonts w:ascii="Cambria" w:eastAsia="Times New Roman" w:hAnsi="Cambria" w:cs="Calibri"/>
          <w:kern w:val="0"/>
          <w:sz w:val="25"/>
          <w:szCs w:val="25"/>
          <w:lang w:val="es-MX" w:eastAsia="es-MX"/>
          <w14:ligatures w14:val="none"/>
        </w:rPr>
        <w:t>–El presidente del Colegio de Abogados de la República Dominicana (CARD), Trajano Potentini, formuló un firme y categórico llamado al Gobierno dominicano para que solicite e integre su participación activa en las negociaciones y esfuerzos de cooperación penal internacional sostenidos entre los Estados Unidos de América y otros Estados, orientados a desarticular estructuras criminales transnacionales, detener a sus cabecillas y avanzar en su desmantelamiento financiero.</w:t>
      </w:r>
    </w:p>
    <w:p w14:paraId="04C9E293" w14:textId="74D5184E"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5005C704" w14:textId="104BF334"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kern w:val="0"/>
          <w:sz w:val="25"/>
          <w:szCs w:val="25"/>
          <w:lang w:val="es-MX" w:eastAsia="es-MX"/>
          <w14:ligatures w14:val="none"/>
        </w:rPr>
        <w:t xml:space="preserve">Potentini sugirió vía el Ministerio Público dominicano, en el caso concreto del denominado </w:t>
      </w:r>
      <w:r w:rsidRPr="003556F5">
        <w:rPr>
          <w:rFonts w:ascii="Cambria" w:eastAsia="Times New Roman" w:hAnsi="Cambria" w:cs="Calibri"/>
          <w:b/>
          <w:bCs/>
          <w:i/>
          <w:iCs/>
          <w:kern w:val="0"/>
          <w:sz w:val="25"/>
          <w:szCs w:val="25"/>
          <w:lang w:val="es-MX" w:eastAsia="es-MX"/>
          <w14:ligatures w14:val="none"/>
        </w:rPr>
        <w:t>Cesar el Abusador</w:t>
      </w:r>
      <w:r w:rsidR="0077776E">
        <w:rPr>
          <w:rFonts w:ascii="Cambria" w:eastAsia="Times New Roman" w:hAnsi="Cambria" w:cs="Calibri"/>
          <w:b/>
          <w:bCs/>
          <w:i/>
          <w:iCs/>
          <w:kern w:val="0"/>
          <w:sz w:val="25"/>
          <w:szCs w:val="25"/>
          <w:lang w:val="es-MX" w:eastAsia="es-MX"/>
          <w14:ligatures w14:val="none"/>
        </w:rPr>
        <w:t>,</w:t>
      </w:r>
      <w:r w:rsidRPr="003556F5">
        <w:rPr>
          <w:rFonts w:ascii="Cambria" w:eastAsia="Times New Roman" w:hAnsi="Cambria" w:cs="Calibri"/>
          <w:kern w:val="0"/>
          <w:sz w:val="25"/>
          <w:szCs w:val="25"/>
          <w:lang w:val="es-MX" w:eastAsia="es-MX"/>
          <w14:ligatures w14:val="none"/>
        </w:rPr>
        <w:t xml:space="preserve"> aprovechar el revés y los cuestionamientos que este ha hecho al acuerdo firmado en el 2022 con la fiscalía de Puerto Rico, declarándose culpable por el tráfico internacional de drogas entre Colombia y República Dominicana, de unos 450 kilos de cocaína, cuyo destino final lo era el territorio norteamericano.</w:t>
      </w:r>
    </w:p>
    <w:p w14:paraId="08B0C557" w14:textId="2C63342B"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008F48C4" w14:textId="6E75B9F0"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kern w:val="0"/>
          <w:sz w:val="25"/>
          <w:szCs w:val="25"/>
          <w:lang w:val="es-MX" w:eastAsia="es-MX"/>
          <w14:ligatures w14:val="none"/>
        </w:rPr>
        <w:t xml:space="preserve">El CARD considera oportuno el integrarse a las nuevas posibilidades de renegociar el acuerdo con </w:t>
      </w:r>
      <w:r w:rsidR="0077776E" w:rsidRPr="0077776E">
        <w:rPr>
          <w:rFonts w:ascii="Cambria" w:eastAsia="Times New Roman" w:hAnsi="Cambria" w:cs="Calibri"/>
          <w:b/>
          <w:bCs/>
          <w:i/>
          <w:iCs/>
          <w:kern w:val="0"/>
          <w:sz w:val="25"/>
          <w:szCs w:val="25"/>
          <w:lang w:val="es-MX" w:eastAsia="es-MX"/>
          <w14:ligatures w14:val="none"/>
        </w:rPr>
        <w:t xml:space="preserve">El </w:t>
      </w:r>
      <w:r w:rsidRPr="003556F5">
        <w:rPr>
          <w:rFonts w:ascii="Cambria" w:eastAsia="Times New Roman" w:hAnsi="Cambria" w:cs="Calibri"/>
          <w:b/>
          <w:bCs/>
          <w:i/>
          <w:iCs/>
          <w:kern w:val="0"/>
          <w:sz w:val="25"/>
          <w:szCs w:val="25"/>
          <w:lang w:val="es-MX" w:eastAsia="es-MX"/>
          <w14:ligatures w14:val="none"/>
        </w:rPr>
        <w:t>Abusador</w:t>
      </w:r>
      <w:r w:rsidRPr="003556F5">
        <w:rPr>
          <w:rFonts w:ascii="Cambria" w:eastAsia="Times New Roman" w:hAnsi="Cambria" w:cs="Calibri"/>
          <w:kern w:val="0"/>
          <w:sz w:val="25"/>
          <w:szCs w:val="25"/>
          <w:lang w:val="es-MX" w:eastAsia="es-MX"/>
          <w14:ligatures w14:val="none"/>
        </w:rPr>
        <w:t xml:space="preserve">, para romper el ciclo de impunidad que mantienen mafias políticas en complicidad con el crimen organizado, las cuales </w:t>
      </w:r>
      <w:r w:rsidR="0077776E">
        <w:rPr>
          <w:rFonts w:ascii="Cambria" w:eastAsia="Times New Roman" w:hAnsi="Cambria" w:cs="Calibri"/>
          <w:kern w:val="0"/>
          <w:sz w:val="25"/>
          <w:szCs w:val="25"/>
          <w:lang w:val="es-MX" w:eastAsia="es-MX"/>
          <w14:ligatures w14:val="none"/>
        </w:rPr>
        <w:t>continúan</w:t>
      </w:r>
      <w:r w:rsidRPr="003556F5">
        <w:rPr>
          <w:rFonts w:ascii="Cambria" w:eastAsia="Times New Roman" w:hAnsi="Cambria" w:cs="Calibri"/>
          <w:kern w:val="0"/>
          <w:sz w:val="25"/>
          <w:szCs w:val="25"/>
          <w:lang w:val="es-MX" w:eastAsia="es-MX"/>
          <w14:ligatures w14:val="none"/>
        </w:rPr>
        <w:t xml:space="preserve"> ajenas al alcance de las leyes penales y más aún protegidas por sectores sombríos de la vida nacional. En ese sentido el país debe incluso en esta etapa acercarse a la fiscalía federal</w:t>
      </w:r>
      <w:r w:rsidR="0077776E">
        <w:rPr>
          <w:rFonts w:ascii="Cambria" w:eastAsia="Times New Roman" w:hAnsi="Cambria" w:cs="Calibri"/>
          <w:kern w:val="0"/>
          <w:sz w:val="25"/>
          <w:szCs w:val="25"/>
          <w:lang w:val="es-MX" w:eastAsia="es-MX"/>
          <w14:ligatures w14:val="none"/>
        </w:rPr>
        <w:t>,</w:t>
      </w:r>
      <w:r w:rsidRPr="003556F5">
        <w:rPr>
          <w:rFonts w:ascii="Cambria" w:eastAsia="Times New Roman" w:hAnsi="Cambria" w:cs="Calibri"/>
          <w:kern w:val="0"/>
          <w:sz w:val="25"/>
          <w:szCs w:val="25"/>
          <w:lang w:val="es-MX" w:eastAsia="es-MX"/>
          <w14:ligatures w14:val="none"/>
        </w:rPr>
        <w:t xml:space="preserve"> que en los próximos días </w:t>
      </w:r>
      <w:r w:rsidR="0077776E">
        <w:rPr>
          <w:rFonts w:ascii="Cambria" w:eastAsia="Times New Roman" w:hAnsi="Cambria" w:cs="Calibri"/>
          <w:kern w:val="0"/>
          <w:sz w:val="25"/>
          <w:szCs w:val="25"/>
          <w:lang w:val="es-MX" w:eastAsia="es-MX"/>
          <w14:ligatures w14:val="none"/>
        </w:rPr>
        <w:t xml:space="preserve">en Puerto Rico </w:t>
      </w:r>
      <w:r w:rsidR="0077776E" w:rsidRPr="003556F5">
        <w:rPr>
          <w:rFonts w:ascii="Cambria" w:eastAsia="Times New Roman" w:hAnsi="Cambria" w:cs="Calibri"/>
          <w:kern w:val="0"/>
          <w:sz w:val="25"/>
          <w:szCs w:val="25"/>
          <w:lang w:val="es-MX" w:eastAsia="es-MX"/>
          <w14:ligatures w14:val="none"/>
        </w:rPr>
        <w:t>Contestara</w:t>
      </w:r>
      <w:r w:rsidR="0077776E">
        <w:rPr>
          <w:rFonts w:ascii="Cambria" w:eastAsia="Times New Roman" w:hAnsi="Cambria" w:cs="Calibri"/>
          <w:kern w:val="0"/>
          <w:sz w:val="25"/>
          <w:szCs w:val="25"/>
          <w:lang w:val="es-MX" w:eastAsia="es-MX"/>
          <w14:ligatures w14:val="none"/>
        </w:rPr>
        <w:t>n</w:t>
      </w:r>
      <w:r w:rsidR="0077776E" w:rsidRPr="003556F5">
        <w:rPr>
          <w:rFonts w:ascii="Cambria" w:eastAsia="Times New Roman" w:hAnsi="Cambria" w:cs="Calibri"/>
          <w:kern w:val="0"/>
          <w:sz w:val="25"/>
          <w:szCs w:val="25"/>
          <w:lang w:val="es-MX" w:eastAsia="es-MX"/>
          <w14:ligatures w14:val="none"/>
        </w:rPr>
        <w:t xml:space="preserve"> </w:t>
      </w:r>
      <w:r w:rsidRPr="003556F5">
        <w:rPr>
          <w:rFonts w:ascii="Cambria" w:eastAsia="Times New Roman" w:hAnsi="Cambria" w:cs="Calibri"/>
          <w:kern w:val="0"/>
          <w:sz w:val="25"/>
          <w:szCs w:val="25"/>
          <w:lang w:val="es-MX" w:eastAsia="es-MX"/>
          <w14:ligatures w14:val="none"/>
        </w:rPr>
        <w:t xml:space="preserve">las alegaciones del </w:t>
      </w:r>
      <w:r w:rsidR="0077776E">
        <w:rPr>
          <w:rFonts w:ascii="Cambria" w:eastAsia="Times New Roman" w:hAnsi="Cambria" w:cs="Calibri"/>
          <w:kern w:val="0"/>
          <w:sz w:val="25"/>
          <w:szCs w:val="25"/>
          <w:lang w:val="es-MX" w:eastAsia="es-MX"/>
          <w14:ligatures w14:val="none"/>
        </w:rPr>
        <w:t>A</w:t>
      </w:r>
      <w:r w:rsidRPr="003556F5">
        <w:rPr>
          <w:rFonts w:ascii="Cambria" w:eastAsia="Times New Roman" w:hAnsi="Cambria" w:cs="Calibri"/>
          <w:kern w:val="0"/>
          <w:sz w:val="25"/>
          <w:szCs w:val="25"/>
          <w:lang w:val="es-MX" w:eastAsia="es-MX"/>
          <w14:ligatures w14:val="none"/>
        </w:rPr>
        <w:t xml:space="preserve">busador, en cuyo espacio procesal podría la República Dominicana obtener insumos vitales para </w:t>
      </w:r>
      <w:r w:rsidR="0077776E">
        <w:rPr>
          <w:rFonts w:ascii="Cambria" w:eastAsia="Times New Roman" w:hAnsi="Cambria" w:cs="Calibri"/>
          <w:kern w:val="0"/>
          <w:sz w:val="25"/>
          <w:szCs w:val="25"/>
          <w:lang w:val="es-MX" w:eastAsia="es-MX"/>
          <w14:ligatures w14:val="none"/>
        </w:rPr>
        <w:t xml:space="preserve">incautar y asegurar bienes ilícitos, </w:t>
      </w:r>
      <w:r w:rsidRPr="003556F5">
        <w:rPr>
          <w:rFonts w:ascii="Cambria" w:eastAsia="Times New Roman" w:hAnsi="Cambria" w:cs="Calibri"/>
          <w:kern w:val="0"/>
          <w:sz w:val="25"/>
          <w:szCs w:val="25"/>
          <w:lang w:val="es-MX" w:eastAsia="es-MX"/>
          <w14:ligatures w14:val="none"/>
        </w:rPr>
        <w:t>encauzar y perseguir mafias políticas, militares, policiales y empresariales que aún se mantienen como intocables y bajo el manto de la impunidad.</w:t>
      </w:r>
    </w:p>
    <w:p w14:paraId="13E7367C" w14:textId="4AAEBBB0"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2821FE21" w14:textId="4797F47F" w:rsidR="003556F5" w:rsidRDefault="003556F5" w:rsidP="003556F5">
      <w:pPr>
        <w:spacing w:after="0" w:line="240" w:lineRule="atLeast"/>
        <w:jc w:val="both"/>
        <w:rPr>
          <w:rFonts w:ascii="Cambria" w:eastAsia="Times New Roman" w:hAnsi="Cambria" w:cs="Calibri"/>
          <w:kern w:val="0"/>
          <w:sz w:val="25"/>
          <w:szCs w:val="25"/>
          <w:lang w:val="es-MX" w:eastAsia="es-MX"/>
          <w14:ligatures w14:val="none"/>
        </w:rPr>
      </w:pPr>
      <w:r w:rsidRPr="003556F5">
        <w:rPr>
          <w:rFonts w:ascii="Cambria" w:eastAsia="Times New Roman" w:hAnsi="Cambria" w:cs="Calibri"/>
          <w:kern w:val="0"/>
          <w:sz w:val="25"/>
          <w:szCs w:val="25"/>
          <w:lang w:val="es-MX" w:eastAsia="es-MX"/>
          <w14:ligatures w14:val="none"/>
        </w:rPr>
        <w:t xml:space="preserve">El CARD sostuvo que el Estado dominicano hoy más que nunca debe sumarse a los esfuerzos coordinados que se desarrollan en la región para combatir fenómenos devastadores como el narcotráfico, el lavado de activos, la trata de personas, </w:t>
      </w:r>
      <w:r w:rsidR="000D03C4">
        <w:rPr>
          <w:rFonts w:ascii="Cambria" w:eastAsia="Times New Roman" w:hAnsi="Cambria" w:cs="Calibri"/>
          <w:kern w:val="0"/>
          <w:sz w:val="25"/>
          <w:szCs w:val="25"/>
          <w:lang w:val="es-MX" w:eastAsia="es-MX"/>
          <w14:ligatures w14:val="none"/>
        </w:rPr>
        <w:t xml:space="preserve">la corrupción publica, </w:t>
      </w:r>
      <w:r w:rsidRPr="003556F5">
        <w:rPr>
          <w:rFonts w:ascii="Cambria" w:eastAsia="Times New Roman" w:hAnsi="Cambria" w:cs="Calibri"/>
          <w:kern w:val="0"/>
          <w:sz w:val="25"/>
          <w:szCs w:val="25"/>
          <w:lang w:val="es-MX" w:eastAsia="es-MX"/>
          <w14:ligatures w14:val="none"/>
        </w:rPr>
        <w:t>el tráfico de armas y otras modalidades delictivas que amenazan la seguridad nacional, erosionan la institucionalidad democrática y lesionan gravemente los derechos fundamentales.</w:t>
      </w:r>
    </w:p>
    <w:p w14:paraId="3B1EF71E" w14:textId="77777777"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b/>
          <w:bCs/>
          <w:kern w:val="0"/>
          <w:sz w:val="25"/>
          <w:szCs w:val="25"/>
          <w:lang w:val="es-MX" w:eastAsia="es-MX"/>
          <w14:ligatures w14:val="none"/>
        </w:rPr>
        <w:lastRenderedPageBreak/>
        <w:t>Aplicación inmediata y enérgica de la Ley 340-22 sobre Extinción de Dominio.</w:t>
      </w:r>
    </w:p>
    <w:p w14:paraId="2DFB01CB" w14:textId="0A611D53"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11809A45" w14:textId="77777777"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kern w:val="0"/>
          <w:sz w:val="25"/>
          <w:szCs w:val="25"/>
          <w:lang w:val="es-MX" w:eastAsia="es-MX"/>
          <w14:ligatures w14:val="none"/>
        </w:rPr>
        <w:t>En ese mismo orden, el Colegio de Abogados emplazó a las autoridades a implementar sin dilación la Ley núm. 340-22 sobre Extinción de Dominio, instrumento jurídico moderno y robusto concebido para perseguir, incautar y decomisar bienes y activos derivados o instrumentales del crimen organizado, el narcotráfico, el lavado de activos, la corrupción administrativa y demás delitos graves establecidos en su ámbito material.</w:t>
      </w:r>
    </w:p>
    <w:p w14:paraId="0DAB1486" w14:textId="0ECA851B"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773F08C8" w14:textId="77777777"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kern w:val="0"/>
          <w:sz w:val="25"/>
          <w:szCs w:val="25"/>
          <w:lang w:val="es-MX" w:eastAsia="es-MX"/>
          <w14:ligatures w14:val="none"/>
        </w:rPr>
        <w:t>El Colegio de Abogados advirtió que la criminalidad organizada ha evolucionado hacia redes más complejas, con estructuras económicas capaces de corromper instituciones, infiltrar sectores productivos, penetrar el poder político y desvirtuar los pilares del Estado de Derecho. En ese sentido, subrayó que: La lucha contra el crimen no es opcional, es constitucional, legal y moralmente obligatoria, de igual forma la cooperación internacional no es injerencia, es corresponsabilidad global, así como la persecución de bienes ilícitos no es retaliación, es justicia patrimonial.</w:t>
      </w:r>
    </w:p>
    <w:p w14:paraId="4840D206" w14:textId="1F9E164F"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79C60346" w14:textId="77777777"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kern w:val="0"/>
          <w:sz w:val="25"/>
          <w:szCs w:val="25"/>
          <w:lang w:val="es-MX" w:eastAsia="es-MX"/>
          <w14:ligatures w14:val="none"/>
        </w:rPr>
        <w:t>El CARD exige: Que el Gobierno dominicano solicite oficialmente ser parte activa y permanente en las mesas de cooperación penal internacional en las que participen los EE. UU. para combatir la criminalidad transnacional, Maxime cuando se trate delitos transnacionales como el narcotráfico. Asimismo, que se fortalezcan los mecanismos de asistencia judicial recíproca, intercambio de información y operaciones coordinadas con autoridades extranjeras. También la aplicación inmediata de acciones de extinción de dominio contra bienes bajo sospecha razonable de ilicitud, conforme a la Ley 340-22, enviando con ello un mensaje inequívoco de que la República Dominicana no es territorio seguro para el crimen, ni santuario para fortunas ilegales.</w:t>
      </w:r>
    </w:p>
    <w:p w14:paraId="3C787F21" w14:textId="50EC985D"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75B1E1A3" w14:textId="6C597BF3"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r w:rsidRPr="003556F5">
        <w:rPr>
          <w:rFonts w:ascii="Cambria" w:eastAsia="Times New Roman" w:hAnsi="Cambria" w:cs="Calibri"/>
          <w:kern w:val="0"/>
          <w:sz w:val="25"/>
          <w:szCs w:val="25"/>
          <w:lang w:val="es-MX" w:eastAsia="es-MX"/>
          <w14:ligatures w14:val="none"/>
        </w:rPr>
        <w:t xml:space="preserve">Trajano Potentini tras participar en el programa </w:t>
      </w:r>
      <w:r w:rsidR="000D03C4" w:rsidRPr="003556F5">
        <w:rPr>
          <w:rFonts w:ascii="Cambria" w:eastAsia="Times New Roman" w:hAnsi="Cambria" w:cs="Calibri"/>
          <w:kern w:val="0"/>
          <w:sz w:val="25"/>
          <w:szCs w:val="25"/>
          <w:lang w:val="es-MX" w:eastAsia="es-MX"/>
          <w14:ligatures w14:val="none"/>
        </w:rPr>
        <w:t>Ma</w:t>
      </w:r>
      <w:r w:rsidRPr="003556F5">
        <w:rPr>
          <w:rFonts w:ascii="Cambria" w:eastAsia="Times New Roman" w:hAnsi="Cambria" w:cs="Calibri"/>
          <w:kern w:val="0"/>
          <w:sz w:val="25"/>
          <w:szCs w:val="25"/>
          <w:lang w:val="es-MX" w:eastAsia="es-MX"/>
          <w14:ligatures w14:val="none"/>
        </w:rPr>
        <w:t xml:space="preserve">tinal 5 que se difunde todas las mañanas en Telemicro, en compañía de los conductores </w:t>
      </w:r>
      <w:proofErr w:type="spellStart"/>
      <w:r w:rsidRPr="003556F5">
        <w:rPr>
          <w:rFonts w:ascii="Cambria" w:eastAsia="Times New Roman" w:hAnsi="Cambria" w:cs="Calibri"/>
          <w:kern w:val="0"/>
          <w:sz w:val="25"/>
          <w:szCs w:val="25"/>
          <w:lang w:val="es-MX" w:eastAsia="es-MX"/>
          <w14:ligatures w14:val="none"/>
        </w:rPr>
        <w:t>Persio</w:t>
      </w:r>
      <w:proofErr w:type="spellEnd"/>
      <w:r w:rsidRPr="003556F5">
        <w:rPr>
          <w:rFonts w:ascii="Cambria" w:eastAsia="Times New Roman" w:hAnsi="Cambria" w:cs="Calibri"/>
          <w:kern w:val="0"/>
          <w:sz w:val="25"/>
          <w:szCs w:val="25"/>
          <w:lang w:val="es-MX" w:eastAsia="es-MX"/>
          <w14:ligatures w14:val="none"/>
        </w:rPr>
        <w:t xml:space="preserve"> Maldonado, Laura Castellanos y Laura Jacquez, </w:t>
      </w:r>
      <w:r w:rsidR="000D03C4">
        <w:rPr>
          <w:rFonts w:ascii="Cambria" w:eastAsia="Times New Roman" w:hAnsi="Cambria" w:cs="Calibri"/>
          <w:kern w:val="0"/>
          <w:sz w:val="25"/>
          <w:szCs w:val="25"/>
          <w:lang w:val="es-MX" w:eastAsia="es-MX"/>
          <w14:ligatures w14:val="none"/>
        </w:rPr>
        <w:t xml:space="preserve">donde </w:t>
      </w:r>
      <w:r w:rsidRPr="003556F5">
        <w:rPr>
          <w:rFonts w:ascii="Cambria" w:eastAsia="Times New Roman" w:hAnsi="Cambria" w:cs="Calibri"/>
          <w:kern w:val="0"/>
          <w:sz w:val="25"/>
          <w:szCs w:val="25"/>
          <w:lang w:val="es-MX" w:eastAsia="es-MX"/>
          <w14:ligatures w14:val="none"/>
        </w:rPr>
        <w:t xml:space="preserve">también abordó los acuerdos del ministerio público con imputados de corrupción, la evaluación y selección de los miembros de </w:t>
      </w:r>
      <w:r w:rsidR="000D03C4" w:rsidRPr="003556F5">
        <w:rPr>
          <w:rFonts w:ascii="Cambria" w:eastAsia="Times New Roman" w:hAnsi="Cambria" w:cs="Calibri"/>
          <w:kern w:val="0"/>
          <w:sz w:val="25"/>
          <w:szCs w:val="25"/>
          <w:lang w:val="es-MX" w:eastAsia="es-MX"/>
          <w14:ligatures w14:val="none"/>
        </w:rPr>
        <w:t>Altas Cortes</w:t>
      </w:r>
      <w:r w:rsidRPr="003556F5">
        <w:rPr>
          <w:rFonts w:ascii="Cambria" w:eastAsia="Times New Roman" w:hAnsi="Cambria" w:cs="Calibri"/>
          <w:kern w:val="0"/>
          <w:sz w:val="25"/>
          <w:szCs w:val="25"/>
          <w:lang w:val="es-MX" w:eastAsia="es-MX"/>
          <w14:ligatures w14:val="none"/>
        </w:rPr>
        <w:t xml:space="preserve">, entre otros temas. </w:t>
      </w:r>
    </w:p>
    <w:p w14:paraId="442A2373" w14:textId="7E745BA4" w:rsidR="003556F5" w:rsidRPr="003556F5" w:rsidRDefault="003556F5" w:rsidP="003556F5">
      <w:pPr>
        <w:spacing w:after="0" w:line="240" w:lineRule="atLeast"/>
        <w:jc w:val="both"/>
        <w:rPr>
          <w:rFonts w:ascii="Calibri" w:eastAsia="Times New Roman" w:hAnsi="Calibri" w:cs="Calibri"/>
          <w:kern w:val="0"/>
          <w:lang w:val="es-MX" w:eastAsia="es-MX"/>
          <w14:ligatures w14:val="none"/>
        </w:rPr>
      </w:pPr>
    </w:p>
    <w:p w14:paraId="3E087CE8" w14:textId="77777777" w:rsidR="00504969" w:rsidRDefault="00504969" w:rsidP="003556F5">
      <w:pPr>
        <w:spacing w:after="0" w:line="240" w:lineRule="atLeast"/>
        <w:jc w:val="center"/>
        <w:rPr>
          <w:rFonts w:ascii="Cambria" w:eastAsia="Times New Roman" w:hAnsi="Cambria" w:cs="Calibri"/>
          <w:b/>
          <w:bCs/>
          <w:kern w:val="0"/>
          <w:sz w:val="25"/>
          <w:szCs w:val="25"/>
          <w:lang w:val="es-DO" w:eastAsia="es-MX"/>
          <w14:ligatures w14:val="none"/>
        </w:rPr>
      </w:pPr>
    </w:p>
    <w:p w14:paraId="1F9EC8B9" w14:textId="016941A8" w:rsidR="003556F5" w:rsidRPr="003556F5" w:rsidRDefault="003556F5" w:rsidP="003556F5">
      <w:pPr>
        <w:spacing w:after="0" w:line="240" w:lineRule="atLeast"/>
        <w:jc w:val="center"/>
        <w:rPr>
          <w:rFonts w:ascii="Calibri" w:eastAsia="Times New Roman" w:hAnsi="Calibri" w:cs="Calibri"/>
          <w:kern w:val="0"/>
          <w:lang w:val="es-MX" w:eastAsia="es-MX"/>
          <w14:ligatures w14:val="none"/>
        </w:rPr>
      </w:pPr>
      <w:r w:rsidRPr="003556F5">
        <w:rPr>
          <w:rFonts w:ascii="Cambria" w:eastAsia="Times New Roman" w:hAnsi="Cambria" w:cs="Calibri"/>
          <w:b/>
          <w:bCs/>
          <w:kern w:val="0"/>
          <w:sz w:val="25"/>
          <w:szCs w:val="25"/>
          <w:lang w:val="es-DO" w:eastAsia="es-MX"/>
          <w14:ligatures w14:val="none"/>
        </w:rPr>
        <w:t>DEPARTAMENTO DE COMUNICACIONES</w:t>
      </w:r>
    </w:p>
    <w:p w14:paraId="298721CC" w14:textId="57DFC4F8" w:rsidR="003556F5" w:rsidRPr="003556F5" w:rsidRDefault="003556F5" w:rsidP="003556F5">
      <w:pPr>
        <w:spacing w:after="0" w:line="240" w:lineRule="atLeast"/>
        <w:jc w:val="center"/>
        <w:rPr>
          <w:rFonts w:ascii="Calibri" w:eastAsia="Times New Roman" w:hAnsi="Calibri" w:cs="Calibri"/>
          <w:kern w:val="0"/>
          <w:lang w:val="es-MX" w:eastAsia="es-MX"/>
          <w14:ligatures w14:val="none"/>
        </w:rPr>
      </w:pPr>
    </w:p>
    <w:p w14:paraId="0146966B" w14:textId="46A971E1" w:rsidR="00492779" w:rsidRPr="003556F5" w:rsidRDefault="00492779" w:rsidP="003556F5">
      <w:pPr>
        <w:spacing w:after="0" w:line="240" w:lineRule="atLeast"/>
      </w:pPr>
    </w:p>
    <w:sectPr w:rsidR="00492779" w:rsidRPr="003556F5" w:rsidSect="00DD44F4">
      <w:headerReference w:type="default" r:id="rId7"/>
      <w:footerReference w:type="default" r:id="rId8"/>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B3B59" w14:textId="77777777" w:rsidR="001738D2" w:rsidRDefault="001738D2" w:rsidP="007867B1">
      <w:pPr>
        <w:spacing w:after="0" w:line="240" w:lineRule="auto"/>
      </w:pPr>
      <w:r>
        <w:separator/>
      </w:r>
    </w:p>
  </w:endnote>
  <w:endnote w:type="continuationSeparator" w:id="0">
    <w:p w14:paraId="4A962DE6" w14:textId="77777777" w:rsidR="001738D2" w:rsidRDefault="001738D2" w:rsidP="0078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EA2" w14:textId="046AF278" w:rsidR="00CA13C5" w:rsidRDefault="00492779" w:rsidP="00882A0A">
    <w:r>
      <w:rPr>
        <w:noProof/>
        <w:lang w:val="es-DO" w:eastAsia="es-DO"/>
      </w:rPr>
      <mc:AlternateContent>
        <mc:Choice Requires="wps">
          <w:drawing>
            <wp:anchor distT="0" distB="0" distL="114300" distR="114300" simplePos="0" relativeHeight="251661312" behindDoc="0" locked="0" layoutInCell="1" allowOverlap="1" wp14:anchorId="4198C31D" wp14:editId="01B1287D">
              <wp:simplePos x="0" y="0"/>
              <wp:positionH relativeFrom="column">
                <wp:posOffset>3882390</wp:posOffset>
              </wp:positionH>
              <wp:positionV relativeFrom="paragraph">
                <wp:posOffset>71120</wp:posOffset>
              </wp:positionV>
              <wp:extent cx="0" cy="742950"/>
              <wp:effectExtent l="9525" t="9525" r="9525" b="9525"/>
              <wp:wrapNone/>
              <wp:docPr id="68733573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038773F" id="_x0000_t32" coordsize="21600,21600" o:spt="32" o:oned="t" path="m,l21600,21600e" filled="f">
              <v:path arrowok="t" fillok="f" o:connecttype="none"/>
              <o:lock v:ext="edit" shapetype="t"/>
            </v:shapetype>
            <v:shape id="AutoShape 3" o:spid="_x0000_s1026" type="#_x0000_t32" style="position:absolute;margin-left:305.7pt;margin-top:5.6pt;width:0;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"/>
          </w:pict>
        </mc:Fallback>
      </mc:AlternateContent>
    </w:r>
    <w:r>
      <w:rPr>
        <w:noProof/>
        <w:lang w:val="es-DO" w:eastAsia="es-DO"/>
      </w:rPr>
      <mc:AlternateContent>
        <mc:Choice Requires="wps">
          <w:drawing>
            <wp:anchor distT="0" distB="0" distL="114300" distR="114300" simplePos="0" relativeHeight="251660288" behindDoc="0" locked="0" layoutInCell="1" allowOverlap="1" wp14:anchorId="4198C31D" wp14:editId="58B38B56">
              <wp:simplePos x="0" y="0"/>
              <wp:positionH relativeFrom="column">
                <wp:posOffset>1548765</wp:posOffset>
              </wp:positionH>
              <wp:positionV relativeFrom="paragraph">
                <wp:posOffset>71120</wp:posOffset>
              </wp:positionV>
              <wp:extent cx="0" cy="742950"/>
              <wp:effectExtent l="9525" t="9525" r="9525" b="9525"/>
              <wp:wrapNone/>
              <wp:docPr id="36290411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295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773931" id="AutoShape 2" o:spid="_x0000_s1026" type="#_x0000_t32" style="position:absolute;margin-left:121.95pt;margin-top:5.6pt;width:0;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"/>
          </w:pict>
        </mc:Fallback>
      </mc:AlternateContent>
    </w:r>
    <w:r>
      <w:rPr>
        <w:noProof/>
        <w:lang w:val="es-DO" w:eastAsia="es-DO"/>
      </w:rPr>
      <mc:AlternateContent>
        <mc:Choice Requires="wps">
          <w:drawing>
            <wp:anchor distT="0" distB="0" distL="114300" distR="114300" simplePos="0" relativeHeight="251659264" behindDoc="0" locked="0" layoutInCell="1" allowOverlap="1" wp14:anchorId="0DD7A83A" wp14:editId="2286C7E2">
              <wp:simplePos x="0" y="0"/>
              <wp:positionH relativeFrom="column">
                <wp:posOffset>-908685</wp:posOffset>
              </wp:positionH>
              <wp:positionV relativeFrom="paragraph">
                <wp:posOffset>-24130</wp:posOffset>
              </wp:positionV>
              <wp:extent cx="7334250" cy="0"/>
              <wp:effectExtent l="9525" t="9525" r="9525" b="9525"/>
              <wp:wrapNone/>
              <wp:docPr id="1870775969"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3425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6818B6" id="AutoShape 1" o:spid="_x0000_s1026" type="#_x0000_t32" style="position:absolute;margin-left:-71.55pt;margin-top:-1.9pt;width:5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"/>
          </w:pict>
        </mc:Fallback>
      </mc:AlternateContent>
    </w:r>
  </w:p>
  <w:p w14:paraId="0B92A3A1" w14:textId="37F2C609" w:rsidR="00A10711" w:rsidRPr="00A10711" w:rsidRDefault="00CA13C5" w:rsidP="00CA13C5">
    <w:pPr>
      <w:pStyle w:val="Piedepgina"/>
      <w:ind w:left="-1418" w:right="-1227"/>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Calle Isabel La Católica No. 60</w:t>
    </w:r>
    <w:r>
      <w:rPr>
        <w:rFonts w:ascii="Arial" w:hAnsi="Arial" w:cs="Arial"/>
        <w:sz w:val="18"/>
        <w:szCs w:val="18"/>
      </w:rPr>
      <w:t xml:space="preserve">                         </w:t>
    </w:r>
    <w:r>
      <w:t xml:space="preserve">San Juan Bautista #136, Esq.          </w:t>
    </w:r>
    <w:r w:rsidR="00882A0A">
      <w:t xml:space="preserve">      </w:t>
    </w:r>
    <w:r>
      <w:t xml:space="preserve">  Av.</w:t>
    </w:r>
    <w:r w:rsidR="00344CF6">
      <w:t xml:space="preserve"> Simón Bolívar No. 9, Sector Gas</w:t>
    </w:r>
    <w:r>
      <w:t>cue</w:t>
    </w:r>
    <w:r>
      <w:tab/>
    </w:r>
  </w:p>
  <w:p w14:paraId="4BE9235D" w14:textId="5044B689" w:rsidR="00A10711" w:rsidRPr="00A10711" w:rsidRDefault="00CA13C5" w:rsidP="00882A0A">
    <w:pPr>
      <w:pStyle w:val="Piedepgina"/>
      <w:ind w:left="-993" w:right="-1085"/>
      <w:rPr>
        <w:rFonts w:ascii="Arial" w:hAnsi="Arial" w:cs="Arial"/>
        <w:sz w:val="18"/>
        <w:szCs w:val="18"/>
      </w:rPr>
    </w:pPr>
    <w:r>
      <w:rPr>
        <w:rFonts w:ascii="Arial" w:hAnsi="Arial" w:cs="Arial"/>
        <w:sz w:val="18"/>
        <w:szCs w:val="18"/>
      </w:rPr>
      <w:t xml:space="preserve">  </w:t>
    </w:r>
    <w:r w:rsidR="00A10711" w:rsidRPr="00A10711">
      <w:rPr>
        <w:rFonts w:ascii="Arial" w:hAnsi="Arial" w:cs="Arial"/>
        <w:sz w:val="18"/>
        <w:szCs w:val="18"/>
      </w:rPr>
      <w:t xml:space="preserve">Esq. Conde, Zona Colonial, Sto. </w:t>
    </w:r>
    <w:proofErr w:type="spellStart"/>
    <w:r w:rsidR="00A10711" w:rsidRPr="00A10711">
      <w:rPr>
        <w:rFonts w:ascii="Arial" w:hAnsi="Arial" w:cs="Arial"/>
        <w:sz w:val="18"/>
        <w:szCs w:val="18"/>
      </w:rPr>
      <w:t>Dgo</w:t>
    </w:r>
    <w:proofErr w:type="spellEnd"/>
    <w:r w:rsidR="00A10711" w:rsidRPr="00A10711">
      <w:rPr>
        <w:rFonts w:ascii="Arial" w:hAnsi="Arial" w:cs="Arial"/>
        <w:sz w:val="18"/>
        <w:szCs w:val="18"/>
      </w:rPr>
      <w:t xml:space="preserve">., </w:t>
    </w:r>
    <w:proofErr w:type="gramStart"/>
    <w:r>
      <w:rPr>
        <w:rFonts w:ascii="Arial" w:hAnsi="Arial" w:cs="Arial"/>
        <w:sz w:val="18"/>
        <w:szCs w:val="18"/>
      </w:rPr>
      <w:tab/>
      <w:t xml:space="preserve">  Cayetano</w:t>
    </w:r>
    <w:proofErr w:type="gramEnd"/>
    <w:r>
      <w:rPr>
        <w:rFonts w:ascii="Arial" w:hAnsi="Arial" w:cs="Arial"/>
        <w:sz w:val="18"/>
        <w:szCs w:val="18"/>
      </w:rPr>
      <w:t xml:space="preserve"> Germosén, Sector </w:t>
    </w:r>
    <w:proofErr w:type="spellStart"/>
    <w:r>
      <w:rPr>
        <w:rFonts w:ascii="Arial" w:hAnsi="Arial" w:cs="Arial"/>
        <w:sz w:val="18"/>
        <w:szCs w:val="18"/>
      </w:rPr>
      <w:t>Atala</w:t>
    </w:r>
    <w:proofErr w:type="spellEnd"/>
    <w:r>
      <w:rPr>
        <w:rFonts w:ascii="Arial" w:hAnsi="Arial" w:cs="Arial"/>
        <w:sz w:val="18"/>
        <w:szCs w:val="18"/>
      </w:rPr>
      <w:t>,</w:t>
    </w:r>
    <w:r w:rsidR="00882A0A">
      <w:rPr>
        <w:rFonts w:ascii="Arial" w:hAnsi="Arial" w:cs="Arial"/>
        <w:sz w:val="18"/>
        <w:szCs w:val="18"/>
      </w:rPr>
      <w:tab/>
      <w:t xml:space="preserve">                      Sto. </w:t>
    </w:r>
    <w:proofErr w:type="spellStart"/>
    <w:r w:rsidR="00882A0A">
      <w:rPr>
        <w:rFonts w:ascii="Arial" w:hAnsi="Arial" w:cs="Arial"/>
        <w:sz w:val="18"/>
        <w:szCs w:val="18"/>
      </w:rPr>
      <w:t>Dgo</w:t>
    </w:r>
    <w:proofErr w:type="spellEnd"/>
    <w:r w:rsidR="00882A0A">
      <w:rPr>
        <w:rFonts w:ascii="Arial" w:hAnsi="Arial" w:cs="Arial"/>
        <w:sz w:val="18"/>
        <w:szCs w:val="18"/>
      </w:rPr>
      <w:t>., Distrito Nacional, R.D.</w:t>
    </w:r>
  </w:p>
  <w:p w14:paraId="2849220D" w14:textId="2AAE2129" w:rsidR="007867B1" w:rsidRDefault="00A10711" w:rsidP="00882A0A">
    <w:pPr>
      <w:pStyle w:val="Piedepgina"/>
      <w:ind w:left="-993" w:right="-1085"/>
    </w:pPr>
    <w:r w:rsidRPr="00A10711">
      <w:rPr>
        <w:rFonts w:ascii="Arial" w:hAnsi="Arial" w:cs="Arial"/>
        <w:sz w:val="18"/>
        <w:szCs w:val="18"/>
      </w:rPr>
      <w:t>Distrito Nacional, R.D. Tel: 809-685-5259</w:t>
    </w:r>
    <w:r w:rsidR="00CA13C5">
      <w:rPr>
        <w:rFonts w:ascii="Arial" w:hAnsi="Arial" w:cs="Arial"/>
        <w:sz w:val="18"/>
        <w:szCs w:val="18"/>
      </w:rPr>
      <w:tab/>
      <w:t xml:space="preserve"> Sto. </w:t>
    </w:r>
    <w:proofErr w:type="spellStart"/>
    <w:r w:rsidR="00CA13C5">
      <w:rPr>
        <w:rFonts w:ascii="Arial" w:hAnsi="Arial" w:cs="Arial"/>
        <w:sz w:val="18"/>
        <w:szCs w:val="18"/>
      </w:rPr>
      <w:t>Dgo</w:t>
    </w:r>
    <w:proofErr w:type="spellEnd"/>
    <w:r w:rsidR="00CA13C5">
      <w:rPr>
        <w:rFonts w:ascii="Arial" w:hAnsi="Arial" w:cs="Arial"/>
        <w:sz w:val="18"/>
        <w:szCs w:val="18"/>
      </w:rPr>
      <w:t xml:space="preserve">., </w:t>
    </w:r>
    <w:proofErr w:type="gramStart"/>
    <w:r w:rsidR="00CA13C5">
      <w:rPr>
        <w:rFonts w:ascii="Arial" w:hAnsi="Arial" w:cs="Arial"/>
        <w:sz w:val="18"/>
        <w:szCs w:val="18"/>
      </w:rPr>
      <w:t>D.N.,R.D.</w:t>
    </w:r>
    <w:proofErr w:type="gramEnd"/>
    <w:r w:rsidR="00CA13C5">
      <w:rPr>
        <w:rFonts w:ascii="Arial" w:hAnsi="Arial" w:cs="Arial"/>
        <w:sz w:val="18"/>
        <w:szCs w:val="18"/>
      </w:rPr>
      <w:t xml:space="preserve"> </w:t>
    </w:r>
    <w:hyperlink r:id="rId1" w:history="1">
      <w:r w:rsidR="00882A0A" w:rsidRPr="00882A0A">
        <w:rPr>
          <w:rStyle w:val="Hipervnculo"/>
          <w:rFonts w:ascii="Arial" w:hAnsi="Arial" w:cs="Arial"/>
          <w:color w:val="auto"/>
          <w:sz w:val="18"/>
          <w:szCs w:val="18"/>
          <w:u w:val="none"/>
        </w:rPr>
        <w:t>Tel:809-685-4029</w:t>
      </w:r>
    </w:hyperlink>
    <w:r w:rsidR="00882A0A">
      <w:rPr>
        <w:rFonts w:ascii="Arial" w:hAnsi="Arial" w:cs="Arial"/>
        <w:sz w:val="18"/>
        <w:szCs w:val="18"/>
      </w:rPr>
      <w:t xml:space="preserve">                           </w:t>
    </w:r>
    <w:r w:rsidR="00882A0A">
      <w:rPr>
        <w:rFonts w:ascii="Arial" w:hAnsi="Arial" w:cs="Arial"/>
        <w:sz w:val="18"/>
        <w:szCs w:val="18"/>
      </w:rPr>
      <w:tab/>
      <w:t xml:space="preserve">       Tel: 809-685-4029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04F3E" w14:textId="77777777" w:rsidR="001738D2" w:rsidRDefault="001738D2" w:rsidP="007867B1">
      <w:pPr>
        <w:spacing w:after="0" w:line="240" w:lineRule="auto"/>
      </w:pPr>
      <w:r>
        <w:separator/>
      </w:r>
    </w:p>
  </w:footnote>
  <w:footnote w:type="continuationSeparator" w:id="0">
    <w:p w14:paraId="76ADD94B" w14:textId="77777777" w:rsidR="001738D2" w:rsidRDefault="001738D2" w:rsidP="007867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4320" w14:textId="3B67F6E9" w:rsidR="007867B1" w:rsidRPr="009D7DF7" w:rsidRDefault="009D7DF7" w:rsidP="009D7DF7">
    <w:pPr>
      <w:pStyle w:val="Encabezado"/>
      <w:ind w:right="-660"/>
      <w:rPr>
        <w:rFonts w:ascii="Arial" w:hAnsi="Arial" w:cs="Arial"/>
        <w:b/>
        <w:bCs/>
        <w:color w:val="2F5496" w:themeColor="accent1" w:themeShade="BF"/>
        <w:sz w:val="28"/>
        <w:szCs w:val="28"/>
      </w:rPr>
    </w:pPr>
    <w:r w:rsidRPr="009D7DF7">
      <w:rPr>
        <w:rFonts w:ascii="Arial" w:hAnsi="Arial" w:cs="Arial"/>
        <w:b/>
        <w:bCs/>
        <w:noProof/>
        <w:color w:val="4472C4" w:themeColor="accent1"/>
        <w:sz w:val="28"/>
        <w:szCs w:val="28"/>
        <w:lang w:val="es-DO" w:eastAsia="es-DO"/>
      </w:rPr>
      <w:drawing>
        <wp:anchor distT="0" distB="0" distL="114300" distR="114300" simplePos="0" relativeHeight="251658240" behindDoc="0" locked="0" layoutInCell="1" allowOverlap="1" wp14:anchorId="09B52AF9" wp14:editId="7078A49B">
          <wp:simplePos x="0" y="0"/>
          <wp:positionH relativeFrom="column">
            <wp:posOffset>-756285</wp:posOffset>
          </wp:positionH>
          <wp:positionV relativeFrom="paragraph">
            <wp:posOffset>-201930</wp:posOffset>
          </wp:positionV>
          <wp:extent cx="1143000" cy="1129030"/>
          <wp:effectExtent l="0" t="0" r="0" b="0"/>
          <wp:wrapSquare wrapText="bothSides"/>
          <wp:docPr id="20026981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838882" name="Imagen 1829838882"/>
                  <pic:cNvPicPr/>
                </pic:nvPicPr>
                <pic:blipFill>
                  <a:blip r:embed="rId1">
                    <a:extLst>
                      <a:ext uri="{28A0092B-C50C-407E-A947-70E740481C1C}">
                        <a14:useLocalDpi xmlns:a14="http://schemas.microsoft.com/office/drawing/2010/main" val="0"/>
                      </a:ext>
                    </a:extLst>
                  </a:blip>
                  <a:stretch>
                    <a:fillRect/>
                  </a:stretch>
                </pic:blipFill>
                <pic:spPr>
                  <a:xfrm>
                    <a:off x="0" y="0"/>
                    <a:ext cx="1143000" cy="1129030"/>
                  </a:xfrm>
                  <a:prstGeom prst="rect">
                    <a:avLst/>
                  </a:prstGeom>
                </pic:spPr>
              </pic:pic>
            </a:graphicData>
          </a:graphic>
          <wp14:sizeRelH relativeFrom="page">
            <wp14:pctWidth>0</wp14:pctWidth>
          </wp14:sizeRelH>
          <wp14:sizeRelV relativeFrom="page">
            <wp14:pctHeight>0</wp14:pctHeight>
          </wp14:sizeRelV>
        </wp:anchor>
      </w:drawing>
    </w:r>
    <w:r w:rsidR="00A10711">
      <w:rPr>
        <w:rFonts w:ascii="Arial" w:hAnsi="Arial" w:cs="Arial"/>
        <w:b/>
        <w:bCs/>
        <w:color w:val="2F5496" w:themeColor="accent1" w:themeShade="BF"/>
        <w:sz w:val="28"/>
        <w:szCs w:val="28"/>
      </w:rPr>
      <w:t xml:space="preserve">   </w:t>
    </w:r>
    <w:r w:rsidR="007867B1" w:rsidRPr="009D7DF7">
      <w:rPr>
        <w:rFonts w:ascii="Arial" w:hAnsi="Arial" w:cs="Arial"/>
        <w:b/>
        <w:bCs/>
        <w:color w:val="2F5496" w:themeColor="accent1" w:themeShade="BF"/>
        <w:sz w:val="28"/>
        <w:szCs w:val="28"/>
      </w:rPr>
      <w:t>COLEGIO DE ABOGADOS DE LA REPÚBLICA DOMINICANA</w:t>
    </w:r>
  </w:p>
  <w:p w14:paraId="1FAD499A" w14:textId="35D23033" w:rsidR="007867B1" w:rsidRDefault="00A10711" w:rsidP="007867B1">
    <w:pPr>
      <w:pStyle w:val="Encabezado"/>
      <w:jc w:val="center"/>
      <w:rPr>
        <w:rFonts w:ascii="Arial" w:hAnsi="Arial" w:cs="Arial"/>
        <w:b/>
        <w:bCs/>
        <w:sz w:val="24"/>
        <w:szCs w:val="24"/>
      </w:rPr>
    </w:pPr>
    <w:r>
      <w:rPr>
        <w:rFonts w:ascii="Arial" w:hAnsi="Arial" w:cs="Arial"/>
        <w:b/>
        <w:bCs/>
        <w:sz w:val="24"/>
        <w:szCs w:val="24"/>
      </w:rPr>
      <w:t xml:space="preserve">     </w:t>
    </w:r>
    <w:r w:rsidR="007867B1" w:rsidRPr="007867B1">
      <w:rPr>
        <w:rFonts w:ascii="Arial" w:hAnsi="Arial" w:cs="Arial"/>
        <w:b/>
        <w:bCs/>
        <w:sz w:val="24"/>
        <w:szCs w:val="24"/>
      </w:rPr>
      <w:t>Fundado el 3 de febrero de 1983</w:t>
    </w:r>
  </w:p>
  <w:p w14:paraId="7936CCC4" w14:textId="1E781513" w:rsidR="007867B1" w:rsidRDefault="00A10711" w:rsidP="007867B1">
    <w:pPr>
      <w:pStyle w:val="Encabezado"/>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Miembro Activo de la Federación Interamericana de Abogados (FIA)</w:t>
    </w:r>
  </w:p>
  <w:p w14:paraId="76E60E98" w14:textId="753DDD33" w:rsidR="007867B1" w:rsidRDefault="00A10711" w:rsidP="00A10711">
    <w:pPr>
      <w:pStyle w:val="Encabezado"/>
      <w:ind w:right="-518"/>
      <w:jc w:val="center"/>
      <w:rPr>
        <w:rFonts w:ascii="Arial" w:hAnsi="Arial" w:cs="Arial"/>
        <w:sz w:val="24"/>
        <w:szCs w:val="24"/>
      </w:rPr>
    </w:pPr>
    <w:r>
      <w:rPr>
        <w:rFonts w:ascii="Arial" w:hAnsi="Arial" w:cs="Arial"/>
        <w:sz w:val="24"/>
        <w:szCs w:val="24"/>
      </w:rPr>
      <w:t xml:space="preserve"> </w:t>
    </w:r>
    <w:r w:rsidR="007867B1">
      <w:rPr>
        <w:rFonts w:ascii="Arial" w:hAnsi="Arial" w:cs="Arial"/>
        <w:sz w:val="24"/>
        <w:szCs w:val="24"/>
      </w:rPr>
      <w:t>Y de la Unión Iberoamericana de Colegios y Agrupaciones de Abogados (UIBA</w:t>
    </w:r>
    <w:r w:rsidR="009D7DF7">
      <w:rPr>
        <w:rFonts w:ascii="Arial" w:hAnsi="Arial" w:cs="Arial"/>
        <w:sz w:val="24"/>
        <w:szCs w:val="24"/>
      </w:rPr>
      <w:t>)</w:t>
    </w:r>
  </w:p>
  <w:p w14:paraId="052A8130" w14:textId="77777777" w:rsidR="00A10711" w:rsidRPr="007867B1" w:rsidRDefault="00A10711" w:rsidP="00A10711">
    <w:pPr>
      <w:pStyle w:val="Encabezado"/>
      <w:ind w:right="-518"/>
      <w:jc w:val="center"/>
      <w:rPr>
        <w:rFonts w:ascii="Arial" w:hAnsi="Arial" w:cs="Arial"/>
        <w:sz w:val="24"/>
        <w:szCs w:val="24"/>
      </w:rPr>
    </w:pPr>
  </w:p>
  <w:p w14:paraId="321D0AE0" w14:textId="77777777" w:rsidR="007867B1" w:rsidRPr="00882A0A" w:rsidRDefault="007867B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7B1"/>
    <w:rsid w:val="0001793B"/>
    <w:rsid w:val="00025566"/>
    <w:rsid w:val="00067062"/>
    <w:rsid w:val="000D03C4"/>
    <w:rsid w:val="000F0A34"/>
    <w:rsid w:val="001738D2"/>
    <w:rsid w:val="00186182"/>
    <w:rsid w:val="002873A5"/>
    <w:rsid w:val="002F70E5"/>
    <w:rsid w:val="00344CF6"/>
    <w:rsid w:val="00353100"/>
    <w:rsid w:val="003556F5"/>
    <w:rsid w:val="00363BB4"/>
    <w:rsid w:val="003D19D6"/>
    <w:rsid w:val="003E588D"/>
    <w:rsid w:val="003F6C76"/>
    <w:rsid w:val="004014BB"/>
    <w:rsid w:val="00407478"/>
    <w:rsid w:val="00451D15"/>
    <w:rsid w:val="00492779"/>
    <w:rsid w:val="004B3774"/>
    <w:rsid w:val="00504969"/>
    <w:rsid w:val="005A154A"/>
    <w:rsid w:val="00647439"/>
    <w:rsid w:val="0077776E"/>
    <w:rsid w:val="007867B1"/>
    <w:rsid w:val="007B68D3"/>
    <w:rsid w:val="007F6BA3"/>
    <w:rsid w:val="008525E7"/>
    <w:rsid w:val="0087762C"/>
    <w:rsid w:val="00882A0A"/>
    <w:rsid w:val="008D2279"/>
    <w:rsid w:val="008D42E9"/>
    <w:rsid w:val="0097299F"/>
    <w:rsid w:val="009735C5"/>
    <w:rsid w:val="009D7DF7"/>
    <w:rsid w:val="00A1064F"/>
    <w:rsid w:val="00A10711"/>
    <w:rsid w:val="00AA4452"/>
    <w:rsid w:val="00AD710D"/>
    <w:rsid w:val="00B97452"/>
    <w:rsid w:val="00C54404"/>
    <w:rsid w:val="00C63222"/>
    <w:rsid w:val="00CA13C5"/>
    <w:rsid w:val="00CB7EBA"/>
    <w:rsid w:val="00CE2A4D"/>
    <w:rsid w:val="00CF21D2"/>
    <w:rsid w:val="00D3309A"/>
    <w:rsid w:val="00D93A45"/>
    <w:rsid w:val="00DD44F4"/>
    <w:rsid w:val="00E4388D"/>
    <w:rsid w:val="00E509CD"/>
    <w:rsid w:val="00E618F5"/>
    <w:rsid w:val="00E7124C"/>
    <w:rsid w:val="00E84C64"/>
    <w:rsid w:val="00EB24A3"/>
    <w:rsid w:val="00F6030C"/>
    <w:rsid w:val="00F76C43"/>
    <w:rsid w:val="00FA38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64B422"/>
  <w15:docId w15:val="{D8313858-4D40-4D32-B02C-3D337ABD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867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867B1"/>
    <w:rPr>
      <w:lang w:val="es-ES_tradnl"/>
    </w:rPr>
  </w:style>
  <w:style w:type="paragraph" w:styleId="Piedepgina">
    <w:name w:val="footer"/>
    <w:basedOn w:val="Normal"/>
    <w:link w:val="PiedepginaCar"/>
    <w:uiPriority w:val="99"/>
    <w:unhideWhenUsed/>
    <w:rsid w:val="007867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867B1"/>
    <w:rPr>
      <w:lang w:val="es-ES_tradnl"/>
    </w:rPr>
  </w:style>
  <w:style w:type="character" w:styleId="Hipervnculo">
    <w:name w:val="Hyperlink"/>
    <w:basedOn w:val="Fuentedeprrafopredeter"/>
    <w:uiPriority w:val="99"/>
    <w:unhideWhenUsed/>
    <w:rsid w:val="00882A0A"/>
    <w:rPr>
      <w:color w:val="0563C1" w:themeColor="hyperlink"/>
      <w:u w:val="single"/>
    </w:rPr>
  </w:style>
  <w:style w:type="character" w:customStyle="1" w:styleId="Mencinsinresolver1">
    <w:name w:val="Mención sin resolver1"/>
    <w:basedOn w:val="Fuentedeprrafopredeter"/>
    <w:uiPriority w:val="99"/>
    <w:semiHidden/>
    <w:unhideWhenUsed/>
    <w:rsid w:val="00882A0A"/>
    <w:rPr>
      <w:color w:val="605E5C"/>
      <w:shd w:val="clear" w:color="auto" w:fill="E1DFDD"/>
    </w:rPr>
  </w:style>
  <w:style w:type="paragraph" w:styleId="Sinespaciado">
    <w:name w:val="No Spacing"/>
    <w:uiPriority w:val="1"/>
    <w:qFormat/>
    <w:rsid w:val="00344CF6"/>
    <w:pPr>
      <w:spacing w:after="0" w:line="240" w:lineRule="auto"/>
    </w:pPr>
    <w:rPr>
      <w:kern w:val="0"/>
      <w:lang w:val="es-ES"/>
      <w14:ligatures w14:val="none"/>
    </w:rPr>
  </w:style>
  <w:style w:type="paragraph" w:styleId="NormalWeb">
    <w:name w:val="Normal (Web)"/>
    <w:basedOn w:val="Normal"/>
    <w:uiPriority w:val="99"/>
    <w:unhideWhenUsed/>
    <w:rsid w:val="003D19D6"/>
    <w:pPr>
      <w:spacing w:before="100" w:beforeAutospacing="1" w:after="100" w:afterAutospacing="1" w:line="240" w:lineRule="auto"/>
    </w:pPr>
    <w:rPr>
      <w:rFonts w:ascii="Times New Roman" w:eastAsia="Times New Roman" w:hAnsi="Times New Roman" w:cs="Times New Roman"/>
      <w:kern w:val="0"/>
      <w:sz w:val="24"/>
      <w:szCs w:val="24"/>
      <w:lang w:val="es-MX"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896611">
      <w:bodyDiv w:val="1"/>
      <w:marLeft w:val="0"/>
      <w:marRight w:val="0"/>
      <w:marTop w:val="0"/>
      <w:marBottom w:val="0"/>
      <w:divBdr>
        <w:top w:val="none" w:sz="0" w:space="0" w:color="auto"/>
        <w:left w:val="none" w:sz="0" w:space="0" w:color="auto"/>
        <w:bottom w:val="none" w:sz="0" w:space="0" w:color="auto"/>
        <w:right w:val="none" w:sz="0" w:space="0" w:color="auto"/>
      </w:divBdr>
      <w:divsChild>
        <w:div w:id="889682356">
          <w:marLeft w:val="0"/>
          <w:marRight w:val="0"/>
          <w:marTop w:val="0"/>
          <w:marBottom w:val="0"/>
          <w:divBdr>
            <w:top w:val="none" w:sz="0" w:space="0" w:color="auto"/>
            <w:left w:val="none" w:sz="0" w:space="0" w:color="auto"/>
            <w:bottom w:val="none" w:sz="0" w:space="0" w:color="auto"/>
            <w:right w:val="none" w:sz="0" w:space="0" w:color="auto"/>
          </w:divBdr>
          <w:divsChild>
            <w:div w:id="1033191272">
              <w:marLeft w:val="0"/>
              <w:marRight w:val="0"/>
              <w:marTop w:val="0"/>
              <w:marBottom w:val="0"/>
              <w:divBdr>
                <w:top w:val="none" w:sz="0" w:space="0" w:color="auto"/>
                <w:left w:val="none" w:sz="0" w:space="0" w:color="auto"/>
                <w:bottom w:val="none" w:sz="0" w:space="0" w:color="auto"/>
                <w:right w:val="none" w:sz="0" w:space="0" w:color="auto"/>
              </w:divBdr>
            </w:div>
            <w:div w:id="457573029">
              <w:marLeft w:val="0"/>
              <w:marRight w:val="0"/>
              <w:marTop w:val="0"/>
              <w:marBottom w:val="0"/>
              <w:divBdr>
                <w:top w:val="none" w:sz="0" w:space="0" w:color="auto"/>
                <w:left w:val="none" w:sz="0" w:space="0" w:color="auto"/>
                <w:bottom w:val="none" w:sz="0" w:space="0" w:color="auto"/>
                <w:right w:val="none" w:sz="0" w:space="0" w:color="auto"/>
              </w:divBdr>
            </w:div>
            <w:div w:id="1993294220">
              <w:marLeft w:val="0"/>
              <w:marRight w:val="0"/>
              <w:marTop w:val="0"/>
              <w:marBottom w:val="0"/>
              <w:divBdr>
                <w:top w:val="none" w:sz="0" w:space="0" w:color="auto"/>
                <w:left w:val="none" w:sz="0" w:space="0" w:color="auto"/>
                <w:bottom w:val="none" w:sz="0" w:space="0" w:color="auto"/>
                <w:right w:val="none" w:sz="0" w:space="0" w:color="auto"/>
              </w:divBdr>
            </w:div>
            <w:div w:id="836188722">
              <w:marLeft w:val="0"/>
              <w:marRight w:val="0"/>
              <w:marTop w:val="0"/>
              <w:marBottom w:val="0"/>
              <w:divBdr>
                <w:top w:val="none" w:sz="0" w:space="0" w:color="auto"/>
                <w:left w:val="none" w:sz="0" w:space="0" w:color="auto"/>
                <w:bottom w:val="none" w:sz="0" w:space="0" w:color="auto"/>
                <w:right w:val="none" w:sz="0" w:space="0" w:color="auto"/>
              </w:divBdr>
            </w:div>
            <w:div w:id="959265165">
              <w:marLeft w:val="0"/>
              <w:marRight w:val="0"/>
              <w:marTop w:val="0"/>
              <w:marBottom w:val="0"/>
              <w:divBdr>
                <w:top w:val="none" w:sz="0" w:space="0" w:color="auto"/>
                <w:left w:val="none" w:sz="0" w:space="0" w:color="auto"/>
                <w:bottom w:val="none" w:sz="0" w:space="0" w:color="auto"/>
                <w:right w:val="none" w:sz="0" w:space="0" w:color="auto"/>
              </w:divBdr>
            </w:div>
            <w:div w:id="1716391812">
              <w:marLeft w:val="0"/>
              <w:marRight w:val="0"/>
              <w:marTop w:val="0"/>
              <w:marBottom w:val="0"/>
              <w:divBdr>
                <w:top w:val="none" w:sz="0" w:space="0" w:color="auto"/>
                <w:left w:val="none" w:sz="0" w:space="0" w:color="auto"/>
                <w:bottom w:val="none" w:sz="0" w:space="0" w:color="auto"/>
                <w:right w:val="none" w:sz="0" w:space="0" w:color="auto"/>
              </w:divBdr>
            </w:div>
            <w:div w:id="974677859">
              <w:marLeft w:val="0"/>
              <w:marRight w:val="0"/>
              <w:marTop w:val="0"/>
              <w:marBottom w:val="0"/>
              <w:divBdr>
                <w:top w:val="none" w:sz="0" w:space="0" w:color="auto"/>
                <w:left w:val="none" w:sz="0" w:space="0" w:color="auto"/>
                <w:bottom w:val="none" w:sz="0" w:space="0" w:color="auto"/>
                <w:right w:val="none" w:sz="0" w:space="0" w:color="auto"/>
              </w:divBdr>
            </w:div>
            <w:div w:id="1921406349">
              <w:marLeft w:val="0"/>
              <w:marRight w:val="0"/>
              <w:marTop w:val="0"/>
              <w:marBottom w:val="0"/>
              <w:divBdr>
                <w:top w:val="none" w:sz="0" w:space="0" w:color="auto"/>
                <w:left w:val="none" w:sz="0" w:space="0" w:color="auto"/>
                <w:bottom w:val="none" w:sz="0" w:space="0" w:color="auto"/>
                <w:right w:val="none" w:sz="0" w:space="0" w:color="auto"/>
              </w:divBdr>
            </w:div>
            <w:div w:id="321547272">
              <w:marLeft w:val="0"/>
              <w:marRight w:val="0"/>
              <w:marTop w:val="0"/>
              <w:marBottom w:val="0"/>
              <w:divBdr>
                <w:top w:val="none" w:sz="0" w:space="0" w:color="auto"/>
                <w:left w:val="none" w:sz="0" w:space="0" w:color="auto"/>
                <w:bottom w:val="none" w:sz="0" w:space="0" w:color="auto"/>
                <w:right w:val="none" w:sz="0" w:space="0" w:color="auto"/>
              </w:divBdr>
            </w:div>
            <w:div w:id="557324470">
              <w:marLeft w:val="0"/>
              <w:marRight w:val="0"/>
              <w:marTop w:val="0"/>
              <w:marBottom w:val="0"/>
              <w:divBdr>
                <w:top w:val="none" w:sz="0" w:space="0" w:color="auto"/>
                <w:left w:val="none" w:sz="0" w:space="0" w:color="auto"/>
                <w:bottom w:val="none" w:sz="0" w:space="0" w:color="auto"/>
                <w:right w:val="none" w:sz="0" w:space="0" w:color="auto"/>
              </w:divBdr>
            </w:div>
            <w:div w:id="2110856465">
              <w:marLeft w:val="0"/>
              <w:marRight w:val="0"/>
              <w:marTop w:val="0"/>
              <w:marBottom w:val="0"/>
              <w:divBdr>
                <w:top w:val="none" w:sz="0" w:space="0" w:color="auto"/>
                <w:left w:val="none" w:sz="0" w:space="0" w:color="auto"/>
                <w:bottom w:val="none" w:sz="0" w:space="0" w:color="auto"/>
                <w:right w:val="none" w:sz="0" w:space="0" w:color="auto"/>
              </w:divBdr>
            </w:div>
            <w:div w:id="943347829">
              <w:marLeft w:val="0"/>
              <w:marRight w:val="0"/>
              <w:marTop w:val="0"/>
              <w:marBottom w:val="0"/>
              <w:divBdr>
                <w:top w:val="none" w:sz="0" w:space="0" w:color="auto"/>
                <w:left w:val="none" w:sz="0" w:space="0" w:color="auto"/>
                <w:bottom w:val="none" w:sz="0" w:space="0" w:color="auto"/>
                <w:right w:val="none" w:sz="0" w:space="0" w:color="auto"/>
              </w:divBdr>
            </w:div>
            <w:div w:id="732462893">
              <w:marLeft w:val="0"/>
              <w:marRight w:val="0"/>
              <w:marTop w:val="0"/>
              <w:marBottom w:val="0"/>
              <w:divBdr>
                <w:top w:val="none" w:sz="0" w:space="0" w:color="auto"/>
                <w:left w:val="none" w:sz="0" w:space="0" w:color="auto"/>
                <w:bottom w:val="none" w:sz="0" w:space="0" w:color="auto"/>
                <w:right w:val="none" w:sz="0" w:space="0" w:color="auto"/>
              </w:divBdr>
            </w:div>
            <w:div w:id="406849747">
              <w:marLeft w:val="0"/>
              <w:marRight w:val="0"/>
              <w:marTop w:val="0"/>
              <w:marBottom w:val="0"/>
              <w:divBdr>
                <w:top w:val="none" w:sz="0" w:space="0" w:color="auto"/>
                <w:left w:val="none" w:sz="0" w:space="0" w:color="auto"/>
                <w:bottom w:val="none" w:sz="0" w:space="0" w:color="auto"/>
                <w:right w:val="none" w:sz="0" w:space="0" w:color="auto"/>
              </w:divBdr>
            </w:div>
            <w:div w:id="175002908">
              <w:marLeft w:val="0"/>
              <w:marRight w:val="0"/>
              <w:marTop w:val="0"/>
              <w:marBottom w:val="0"/>
              <w:divBdr>
                <w:top w:val="none" w:sz="0" w:space="0" w:color="auto"/>
                <w:left w:val="none" w:sz="0" w:space="0" w:color="auto"/>
                <w:bottom w:val="none" w:sz="0" w:space="0" w:color="auto"/>
                <w:right w:val="none" w:sz="0" w:space="0" w:color="auto"/>
              </w:divBdr>
            </w:div>
            <w:div w:id="1067463051">
              <w:marLeft w:val="0"/>
              <w:marRight w:val="0"/>
              <w:marTop w:val="0"/>
              <w:marBottom w:val="0"/>
              <w:divBdr>
                <w:top w:val="none" w:sz="0" w:space="0" w:color="auto"/>
                <w:left w:val="none" w:sz="0" w:space="0" w:color="auto"/>
                <w:bottom w:val="none" w:sz="0" w:space="0" w:color="auto"/>
                <w:right w:val="none" w:sz="0" w:space="0" w:color="auto"/>
              </w:divBdr>
            </w:div>
            <w:div w:id="1078672839">
              <w:marLeft w:val="0"/>
              <w:marRight w:val="0"/>
              <w:marTop w:val="0"/>
              <w:marBottom w:val="0"/>
              <w:divBdr>
                <w:top w:val="none" w:sz="0" w:space="0" w:color="auto"/>
                <w:left w:val="none" w:sz="0" w:space="0" w:color="auto"/>
                <w:bottom w:val="none" w:sz="0" w:space="0" w:color="auto"/>
                <w:right w:val="none" w:sz="0" w:space="0" w:color="auto"/>
              </w:divBdr>
            </w:div>
            <w:div w:id="260376003">
              <w:marLeft w:val="0"/>
              <w:marRight w:val="0"/>
              <w:marTop w:val="0"/>
              <w:marBottom w:val="0"/>
              <w:divBdr>
                <w:top w:val="none" w:sz="0" w:space="0" w:color="auto"/>
                <w:left w:val="none" w:sz="0" w:space="0" w:color="auto"/>
                <w:bottom w:val="none" w:sz="0" w:space="0" w:color="auto"/>
                <w:right w:val="none" w:sz="0" w:space="0" w:color="auto"/>
              </w:divBdr>
            </w:div>
            <w:div w:id="2192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05607">
      <w:bodyDiv w:val="1"/>
      <w:marLeft w:val="0"/>
      <w:marRight w:val="0"/>
      <w:marTop w:val="0"/>
      <w:marBottom w:val="0"/>
      <w:divBdr>
        <w:top w:val="none" w:sz="0" w:space="0" w:color="auto"/>
        <w:left w:val="none" w:sz="0" w:space="0" w:color="auto"/>
        <w:bottom w:val="none" w:sz="0" w:space="0" w:color="auto"/>
        <w:right w:val="none" w:sz="0" w:space="0" w:color="auto"/>
      </w:divBdr>
    </w:div>
    <w:div w:id="1866478823">
      <w:bodyDiv w:val="1"/>
      <w:marLeft w:val="0"/>
      <w:marRight w:val="0"/>
      <w:marTop w:val="0"/>
      <w:marBottom w:val="0"/>
      <w:divBdr>
        <w:top w:val="none" w:sz="0" w:space="0" w:color="auto"/>
        <w:left w:val="none" w:sz="0" w:space="0" w:color="auto"/>
        <w:bottom w:val="none" w:sz="0" w:space="0" w:color="auto"/>
        <w:right w:val="none" w:sz="0" w:space="0" w:color="auto"/>
      </w:divBdr>
    </w:div>
    <w:div w:id="19726351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Tel:809-685-402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CF40DF-B484-4026-A7D3-9CD41311C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713</Words>
  <Characters>3922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jerfry sanchez</dc:creator>
  <cp:keywords/>
  <dc:description/>
  <cp:lastModifiedBy>Trajano Vidal Potentini Adames</cp:lastModifiedBy>
  <cp:revision>5</cp:revision>
  <dcterms:created xsi:type="dcterms:W3CDTF">2025-11-11T13:43:00Z</dcterms:created>
  <dcterms:modified xsi:type="dcterms:W3CDTF">2025-11-11T14:38:00Z</dcterms:modified>
</cp:coreProperties>
</file>