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B593" w14:textId="77777777" w:rsidR="00ED7418" w:rsidRPr="002E5A81" w:rsidRDefault="00ED7418" w:rsidP="00675DC0">
      <w:pPr>
        <w:spacing w:after="0" w:line="240" w:lineRule="atLeast"/>
        <w:jc w:val="center"/>
        <w:rPr>
          <w:rFonts w:ascii="Calibri" w:eastAsia="Times New Roman" w:hAnsi="Calibri" w:cs="Calibri"/>
          <w:sz w:val="28"/>
          <w:szCs w:val="28"/>
          <w:lang w:val="es-DO" w:eastAsia="es-DO"/>
        </w:rPr>
      </w:pPr>
      <w:r w:rsidRPr="002E5A81">
        <w:rPr>
          <w:rFonts w:ascii="Cambria" w:eastAsia="Times New Roman" w:hAnsi="Cambria" w:cs="Calibri"/>
          <w:b/>
          <w:bCs/>
          <w:color w:val="2E2E2E"/>
          <w:sz w:val="28"/>
          <w:szCs w:val="28"/>
          <w:lang w:val="es-DO" w:eastAsia="es-DO"/>
        </w:rPr>
        <w:t>NOTA DE PRENSA</w:t>
      </w:r>
    </w:p>
    <w:p w14:paraId="4B157FB3" w14:textId="5A5734FF" w:rsidR="00ED7418" w:rsidRPr="002E5A81" w:rsidRDefault="00ED7418" w:rsidP="00675DC0">
      <w:pPr>
        <w:spacing w:after="0" w:line="240" w:lineRule="atLeast"/>
        <w:jc w:val="center"/>
        <w:rPr>
          <w:rFonts w:ascii="Calibri" w:eastAsia="Times New Roman" w:hAnsi="Calibri" w:cs="Calibri"/>
          <w:sz w:val="28"/>
          <w:szCs w:val="28"/>
          <w:lang w:val="es-DO" w:eastAsia="es-DO"/>
        </w:rPr>
      </w:pPr>
    </w:p>
    <w:p w14:paraId="52C04394" w14:textId="20824BF4" w:rsidR="004E2A66" w:rsidRPr="002E5A81" w:rsidRDefault="004E2A66" w:rsidP="004E2A66">
      <w:pPr>
        <w:spacing w:after="0" w:line="240" w:lineRule="atLeast"/>
        <w:jc w:val="center"/>
        <w:rPr>
          <w:b/>
          <w:bCs/>
          <w:sz w:val="28"/>
          <w:szCs w:val="28"/>
        </w:rPr>
      </w:pPr>
      <w:r w:rsidRPr="002E5A81">
        <w:rPr>
          <w:b/>
          <w:bCs/>
          <w:sz w:val="28"/>
          <w:szCs w:val="28"/>
        </w:rPr>
        <w:t>CARD respalda prórroga para la entrada en vigencia y cor</w:t>
      </w:r>
      <w:r w:rsidR="002E5A81">
        <w:rPr>
          <w:b/>
          <w:bCs/>
          <w:sz w:val="28"/>
          <w:szCs w:val="28"/>
        </w:rPr>
        <w:t>r</w:t>
      </w:r>
      <w:r w:rsidRPr="002E5A81">
        <w:rPr>
          <w:b/>
          <w:bCs/>
          <w:sz w:val="28"/>
          <w:szCs w:val="28"/>
        </w:rPr>
        <w:t>ecciones en el del nuevo Código Penal</w:t>
      </w:r>
    </w:p>
    <w:p w14:paraId="34ED6799" w14:textId="77777777" w:rsidR="004E2A66" w:rsidRPr="002E5A81" w:rsidRDefault="004E2A66" w:rsidP="004E2A66">
      <w:pPr>
        <w:spacing w:after="0" w:line="240" w:lineRule="atLeast"/>
        <w:jc w:val="center"/>
        <w:rPr>
          <w:b/>
          <w:sz w:val="28"/>
          <w:szCs w:val="28"/>
        </w:rPr>
      </w:pPr>
    </w:p>
    <w:p w14:paraId="12AC2277" w14:textId="77777777" w:rsidR="004E2A66" w:rsidRPr="002E5A81" w:rsidRDefault="004E2A66" w:rsidP="004E2A66">
      <w:pPr>
        <w:spacing w:after="0" w:line="240" w:lineRule="atLeast"/>
        <w:jc w:val="center"/>
        <w:rPr>
          <w:b/>
          <w:sz w:val="28"/>
          <w:szCs w:val="28"/>
        </w:rPr>
      </w:pPr>
      <w:r w:rsidRPr="002E5A81">
        <w:rPr>
          <w:b/>
          <w:sz w:val="28"/>
          <w:szCs w:val="28"/>
        </w:rPr>
        <w:t>Trajano Potentini advierte que la normativa contiene incongruencias e inconstitucionalidades que deben ser corregidas antes de su aplicación</w:t>
      </w:r>
    </w:p>
    <w:p w14:paraId="54DA4C8C" w14:textId="77777777" w:rsidR="004E2A66" w:rsidRPr="002E5A81" w:rsidRDefault="004E2A66" w:rsidP="004E2A66">
      <w:pPr>
        <w:spacing w:after="0" w:line="240" w:lineRule="atLeast"/>
        <w:jc w:val="center"/>
        <w:rPr>
          <w:rFonts w:ascii="Cambria" w:eastAsia="Times New Roman" w:hAnsi="Cambria" w:cs="Calibri"/>
          <w:b/>
          <w:bCs/>
          <w:sz w:val="28"/>
          <w:szCs w:val="28"/>
          <w:lang w:val="es-MX" w:eastAsia="es-DO"/>
        </w:rPr>
      </w:pPr>
    </w:p>
    <w:p w14:paraId="1E8951B2" w14:textId="2182FA7D" w:rsidR="004E2A66" w:rsidRPr="002E5A81" w:rsidRDefault="00675DC0" w:rsidP="004E2A66">
      <w:pPr>
        <w:spacing w:after="0" w:line="240" w:lineRule="atLeast"/>
        <w:jc w:val="both"/>
        <w:rPr>
          <w:sz w:val="28"/>
          <w:szCs w:val="28"/>
        </w:rPr>
      </w:pPr>
      <w:r w:rsidRPr="002E5A81">
        <w:rPr>
          <w:rFonts w:ascii="Cambria" w:eastAsia="Times New Roman" w:hAnsi="Cambria" w:cs="Calibri"/>
          <w:b/>
          <w:bCs/>
          <w:sz w:val="28"/>
          <w:szCs w:val="28"/>
          <w:lang w:val="es-MX" w:eastAsia="es-DO"/>
        </w:rPr>
        <w:t xml:space="preserve">Santo Domingo, República Dominicana, </w:t>
      </w:r>
      <w:r w:rsidR="006C09A6" w:rsidRPr="002E5A81">
        <w:rPr>
          <w:rFonts w:ascii="Cambria" w:eastAsia="Times New Roman" w:hAnsi="Cambria" w:cs="Calibri"/>
          <w:b/>
          <w:bCs/>
          <w:sz w:val="28"/>
          <w:szCs w:val="28"/>
          <w:lang w:val="es-MX" w:eastAsia="es-DO"/>
        </w:rPr>
        <w:t>2</w:t>
      </w:r>
      <w:r w:rsidR="004E2A66" w:rsidRPr="002E5A81">
        <w:rPr>
          <w:rFonts w:ascii="Cambria" w:eastAsia="Times New Roman" w:hAnsi="Cambria" w:cs="Calibri"/>
          <w:b/>
          <w:bCs/>
          <w:sz w:val="28"/>
          <w:szCs w:val="28"/>
          <w:lang w:val="es-MX" w:eastAsia="es-DO"/>
        </w:rPr>
        <w:t>9</w:t>
      </w:r>
      <w:r w:rsidRPr="002E5A81">
        <w:rPr>
          <w:rFonts w:ascii="Cambria" w:eastAsia="Times New Roman" w:hAnsi="Cambria" w:cs="Calibri"/>
          <w:b/>
          <w:bCs/>
          <w:sz w:val="28"/>
          <w:szCs w:val="28"/>
          <w:lang w:val="es-DO" w:eastAsia="es-DO"/>
        </w:rPr>
        <w:t xml:space="preserve"> de </w:t>
      </w:r>
      <w:r w:rsidR="004E2A66" w:rsidRPr="002E5A81">
        <w:rPr>
          <w:rFonts w:ascii="Cambria" w:eastAsia="Times New Roman" w:hAnsi="Cambria" w:cs="Calibri"/>
          <w:b/>
          <w:bCs/>
          <w:sz w:val="28"/>
          <w:szCs w:val="28"/>
          <w:lang w:val="es-DO" w:eastAsia="es-DO"/>
        </w:rPr>
        <w:t>junio</w:t>
      </w:r>
      <w:r w:rsidRPr="002E5A81">
        <w:rPr>
          <w:rFonts w:ascii="Cambria" w:eastAsia="Times New Roman" w:hAnsi="Cambria" w:cs="Calibri"/>
          <w:b/>
          <w:bCs/>
          <w:sz w:val="28"/>
          <w:szCs w:val="28"/>
          <w:lang w:val="es-DO" w:eastAsia="es-DO"/>
        </w:rPr>
        <w:t xml:space="preserve"> de 2026.–</w:t>
      </w:r>
      <w:r w:rsidRPr="002E5A81">
        <w:rPr>
          <w:rFonts w:ascii="Cambria" w:eastAsia="Times New Roman" w:hAnsi="Cambria" w:cs="Calibri"/>
          <w:sz w:val="28"/>
          <w:szCs w:val="28"/>
          <w:lang w:val="es-DO" w:eastAsia="es-DO"/>
        </w:rPr>
        <w:t xml:space="preserve"> </w:t>
      </w:r>
      <w:r w:rsidR="004E2A66" w:rsidRPr="002E5A81">
        <w:rPr>
          <w:sz w:val="28"/>
          <w:szCs w:val="28"/>
        </w:rPr>
        <w:t>El presidente del Colegio de Abogados de la República Dominicana (CARD), Trajano Potentini, expresó el respaldo institucional del gremio a la propuesta de aplazar por aproximadamente seis meses la entrada en vigencia del nuevo Código Penal, con el propósito de corregir disposiciones que, a su juicio, presentan incongruencias, desaciertos e incluso posibles inconstitucionalidades.</w:t>
      </w:r>
    </w:p>
    <w:p w14:paraId="150FDCA7" w14:textId="77777777" w:rsidR="004E2A66" w:rsidRPr="002E5A81" w:rsidRDefault="004E2A66" w:rsidP="004E2A66">
      <w:pPr>
        <w:spacing w:after="0" w:line="240" w:lineRule="atLeast"/>
        <w:jc w:val="both"/>
        <w:rPr>
          <w:sz w:val="28"/>
          <w:szCs w:val="28"/>
        </w:rPr>
      </w:pPr>
    </w:p>
    <w:p w14:paraId="1C90B4FB" w14:textId="77777777" w:rsidR="004E2A66" w:rsidRPr="002E5A81" w:rsidRDefault="004E2A66" w:rsidP="004E2A66">
      <w:pPr>
        <w:spacing w:after="0" w:line="240" w:lineRule="atLeast"/>
        <w:jc w:val="both"/>
        <w:rPr>
          <w:sz w:val="28"/>
          <w:szCs w:val="28"/>
        </w:rPr>
      </w:pPr>
      <w:r w:rsidRPr="002E5A81">
        <w:rPr>
          <w:sz w:val="28"/>
          <w:szCs w:val="28"/>
        </w:rPr>
        <w:t>Potentini sostuvo que, si bien el país necesita con urgencia una legislación penal moderna, capaz de responder a la evolución del crimen organizado, los delitos tecnológicos y las nuevas modalidades delictivas, esa actualización no puede realizarse a costa de derechos y garantías fundamentales consagrados en la Constitución.</w:t>
      </w:r>
    </w:p>
    <w:p w14:paraId="767BD181" w14:textId="77777777" w:rsidR="004E2A66" w:rsidRPr="002E5A81" w:rsidRDefault="004E2A66" w:rsidP="004E2A66">
      <w:pPr>
        <w:spacing w:after="0" w:line="240" w:lineRule="atLeast"/>
        <w:jc w:val="both"/>
        <w:rPr>
          <w:sz w:val="28"/>
          <w:szCs w:val="28"/>
        </w:rPr>
      </w:pPr>
    </w:p>
    <w:p w14:paraId="07213748" w14:textId="72A55112" w:rsidR="004E2A66" w:rsidRPr="002E5A81" w:rsidRDefault="004E2A66" w:rsidP="004E2A66">
      <w:pPr>
        <w:spacing w:after="0" w:line="240" w:lineRule="atLeast"/>
        <w:jc w:val="both"/>
        <w:rPr>
          <w:sz w:val="28"/>
          <w:szCs w:val="28"/>
        </w:rPr>
      </w:pPr>
      <w:r w:rsidRPr="002E5A81">
        <w:rPr>
          <w:sz w:val="28"/>
          <w:szCs w:val="28"/>
        </w:rPr>
        <w:t xml:space="preserve">El presidente del CARD </w:t>
      </w:r>
      <w:r w:rsidR="002E5A81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>reconoció</w:t>
      </w:r>
      <w:r w:rsidRPr="002E5A81">
        <w:rPr>
          <w:sz w:val="28"/>
          <w:szCs w:val="28"/>
        </w:rPr>
        <w:t xml:space="preserve"> que el Código Penal es una necesidad y un imperativo para la República Dominicana, pero debe entrar en vigor con las correcciones necesarias, entre los temas que requieren revisión figuran disposiciones que podrían afectar la libertad de expresión y otras conquistas democráticas, las cuales, afirmó, deben ser reivindicadas y adecuadas al marco constitucional antes de que la normativa comience a regir.</w:t>
      </w:r>
    </w:p>
    <w:p w14:paraId="20526A8C" w14:textId="77777777" w:rsidR="004E2A66" w:rsidRPr="002E5A81" w:rsidRDefault="004E2A66" w:rsidP="004E2A66">
      <w:pPr>
        <w:spacing w:after="0" w:line="240" w:lineRule="atLeast"/>
        <w:jc w:val="both"/>
        <w:rPr>
          <w:sz w:val="28"/>
          <w:szCs w:val="28"/>
        </w:rPr>
      </w:pPr>
    </w:p>
    <w:p w14:paraId="7F8340A4" w14:textId="54403FF8" w:rsidR="004E2A66" w:rsidRPr="002E5A81" w:rsidRDefault="004E2A66" w:rsidP="004E2A66">
      <w:pPr>
        <w:spacing w:after="0" w:line="240" w:lineRule="atLeast"/>
        <w:jc w:val="both"/>
        <w:rPr>
          <w:sz w:val="28"/>
          <w:szCs w:val="28"/>
        </w:rPr>
      </w:pPr>
      <w:r w:rsidRPr="002E5A81">
        <w:rPr>
          <w:sz w:val="28"/>
          <w:szCs w:val="28"/>
        </w:rPr>
        <w:t xml:space="preserve">En ese sentido, Potentini indicó que el Colegio de Abogados suscribe la posición planteada por la Fundación Institucionalidad y Justicia (Finjus), consistente en que el Congreso Nacional apruebe una prórroga que extienda la entrada en vigencia del Código Penal más allá del próximo 5 de agosto, </w:t>
      </w:r>
      <w:r w:rsidRPr="002E5A81">
        <w:rPr>
          <w:sz w:val="28"/>
          <w:szCs w:val="28"/>
        </w:rPr>
        <w:lastRenderedPageBreak/>
        <w:t>otorgando un plazo aproximado de seis meses para realizar las modificaciones pertinentes."Respaldamos plenamente una prórroga legislativa que permita perfeccionar el texto, corregir las inconsistencias detectadas y garantizar que el nuevo Código Penal nazca fortalecido, respetando plenamente los principios y derechos constitucionales", expresó.</w:t>
      </w:r>
    </w:p>
    <w:p w14:paraId="6953CF95" w14:textId="77777777" w:rsidR="004E2A66" w:rsidRPr="002E5A81" w:rsidRDefault="004E2A66" w:rsidP="004E2A66">
      <w:pPr>
        <w:spacing w:after="0" w:line="240" w:lineRule="atLeast"/>
        <w:jc w:val="both"/>
        <w:rPr>
          <w:sz w:val="28"/>
          <w:szCs w:val="28"/>
        </w:rPr>
      </w:pPr>
    </w:p>
    <w:p w14:paraId="4F4F78A5" w14:textId="77777777" w:rsidR="004E2A66" w:rsidRPr="002E5A81" w:rsidRDefault="004E2A66" w:rsidP="004E2A66">
      <w:pPr>
        <w:spacing w:after="0" w:line="240" w:lineRule="atLeast"/>
        <w:jc w:val="both"/>
        <w:rPr>
          <w:sz w:val="28"/>
          <w:szCs w:val="28"/>
        </w:rPr>
      </w:pPr>
      <w:r w:rsidRPr="002E5A81">
        <w:rPr>
          <w:sz w:val="28"/>
          <w:szCs w:val="28"/>
        </w:rPr>
        <w:t>Las declaraciones de Trajano Potentini fueron ofrecidas durante una entrevista en el programa Matinal 5, transmitido por Telemicro, canal 5, donde participó junto a los periodistas Persio Maldonado, Laura Castellanos y Domingo del Pilar, quienes abordaron los principales desafíos jurídicos y constitucionales que plantea la inminente entrada en vigencia de la nueva legislación penal.</w:t>
      </w:r>
    </w:p>
    <w:p w14:paraId="36D432E6" w14:textId="77777777" w:rsidR="004E2A66" w:rsidRPr="002E5A81" w:rsidRDefault="004E2A66" w:rsidP="004E2A66">
      <w:pPr>
        <w:spacing w:after="0" w:line="240" w:lineRule="atLeast"/>
        <w:jc w:val="both"/>
        <w:rPr>
          <w:sz w:val="28"/>
          <w:szCs w:val="28"/>
        </w:rPr>
      </w:pPr>
    </w:p>
    <w:p w14:paraId="05B17D0C" w14:textId="77777777" w:rsidR="004E2A66" w:rsidRPr="002E5A81" w:rsidRDefault="004E2A66" w:rsidP="004E2A66">
      <w:pPr>
        <w:spacing w:after="0" w:line="240" w:lineRule="atLeast"/>
        <w:jc w:val="both"/>
        <w:rPr>
          <w:sz w:val="28"/>
          <w:szCs w:val="28"/>
        </w:rPr>
      </w:pPr>
      <w:r w:rsidRPr="002E5A81">
        <w:rPr>
          <w:sz w:val="28"/>
          <w:szCs w:val="28"/>
        </w:rPr>
        <w:t>Finalmente el presidente del CARD reiteró que una revisión responsable del texto fortalecerá la seguridad jurídica y permitirá que el país cuente con un Código Penal moderno, constitucionalmente sólido y acorde con las exigencias del Estado Social y Democrático de Derecho.</w:t>
      </w:r>
    </w:p>
    <w:p w14:paraId="3A7252B6" w14:textId="0516E086" w:rsidR="00675DC0" w:rsidRPr="002E5A81" w:rsidRDefault="00675DC0" w:rsidP="004E2A66">
      <w:pPr>
        <w:spacing w:after="0" w:line="240" w:lineRule="atLeast"/>
        <w:jc w:val="both"/>
        <w:rPr>
          <w:sz w:val="28"/>
          <w:szCs w:val="28"/>
        </w:rPr>
      </w:pPr>
    </w:p>
    <w:p w14:paraId="4DB32E69" w14:textId="3FBDEF95" w:rsidR="00CC4092" w:rsidRPr="002E5A81" w:rsidRDefault="00CC4092" w:rsidP="00675DC0">
      <w:pPr>
        <w:spacing w:after="0" w:line="240" w:lineRule="atLeast"/>
        <w:jc w:val="center"/>
        <w:rPr>
          <w:rFonts w:ascii="Cambria" w:hAnsi="Cambria" w:cstheme="minorHAnsi"/>
          <w:sz w:val="28"/>
          <w:szCs w:val="28"/>
          <w:lang w:val="es-DO"/>
        </w:rPr>
      </w:pPr>
      <w:r w:rsidRPr="002E5A81">
        <w:rPr>
          <w:rFonts w:ascii="Cambria" w:eastAsia="Times New Roman" w:hAnsi="Cambria" w:cs="Calibri"/>
          <w:b/>
          <w:bCs/>
          <w:sz w:val="28"/>
          <w:szCs w:val="28"/>
        </w:rPr>
        <w:t>DEPARTAMENTO DE COMUNICACIONES</w:t>
      </w:r>
    </w:p>
    <w:p w14:paraId="6E0844B7" w14:textId="77777777" w:rsidR="00CC4092" w:rsidRPr="002E5A81" w:rsidRDefault="00CC4092" w:rsidP="00675DC0">
      <w:pPr>
        <w:spacing w:after="0" w:line="240" w:lineRule="atLeast"/>
        <w:jc w:val="both"/>
        <w:rPr>
          <w:rFonts w:ascii="Cambria" w:hAnsi="Cambria"/>
          <w:sz w:val="28"/>
          <w:szCs w:val="28"/>
          <w:lang w:val="es-DO"/>
        </w:rPr>
      </w:pPr>
    </w:p>
    <w:p w14:paraId="36492D0B" w14:textId="4868D6B3" w:rsidR="00CF1E23" w:rsidRPr="002E5A81" w:rsidRDefault="00CF1E23" w:rsidP="00675DC0">
      <w:pPr>
        <w:spacing w:after="0" w:line="240" w:lineRule="atLeast"/>
        <w:rPr>
          <w:rFonts w:ascii="Cambria" w:hAnsi="Cambria"/>
          <w:sz w:val="28"/>
          <w:szCs w:val="28"/>
        </w:rPr>
      </w:pPr>
    </w:p>
    <w:sectPr w:rsidR="00CF1E23" w:rsidRPr="002E5A81" w:rsidSect="00A237B1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4EEFF" w14:textId="77777777" w:rsidR="0079684C" w:rsidRDefault="0079684C" w:rsidP="007867B1">
      <w:pPr>
        <w:spacing w:after="0" w:line="240" w:lineRule="auto"/>
      </w:pPr>
      <w:r>
        <w:separator/>
      </w:r>
    </w:p>
  </w:endnote>
  <w:endnote w:type="continuationSeparator" w:id="0">
    <w:p w14:paraId="6D5EB9B1" w14:textId="77777777" w:rsidR="0079684C" w:rsidRDefault="0079684C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Dgo., </w:t>
    </w:r>
    <w:r>
      <w:rPr>
        <w:rFonts w:ascii="Arial" w:hAnsi="Arial" w:cs="Arial"/>
        <w:sz w:val="18"/>
        <w:szCs w:val="18"/>
      </w:rPr>
      <w:tab/>
      <w:t xml:space="preserve">  Cayetano Germosén, Sector Atala,</w:t>
    </w:r>
    <w:r w:rsidR="00882A0A">
      <w:rPr>
        <w:rFonts w:ascii="Arial" w:hAnsi="Arial" w:cs="Arial"/>
        <w:sz w:val="18"/>
        <w:szCs w:val="18"/>
      </w:rPr>
      <w:tab/>
      <w:t xml:space="preserve">                      Sto. Dgo.,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Dgo., D.N.,R.D.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3EB26" w14:textId="77777777" w:rsidR="0079684C" w:rsidRDefault="0079684C" w:rsidP="007867B1">
      <w:pPr>
        <w:spacing w:after="0" w:line="240" w:lineRule="auto"/>
      </w:pPr>
      <w:r>
        <w:separator/>
      </w:r>
    </w:p>
  </w:footnote>
  <w:footnote w:type="continuationSeparator" w:id="0">
    <w:p w14:paraId="64587920" w14:textId="77777777" w:rsidR="0079684C" w:rsidRDefault="0079684C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3B67F6E9" w:rsidR="007867B1" w:rsidRPr="009D7DF7" w:rsidRDefault="009D7DF7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r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637963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1793B"/>
    <w:rsid w:val="00041055"/>
    <w:rsid w:val="000753BD"/>
    <w:rsid w:val="000800C8"/>
    <w:rsid w:val="000A5B21"/>
    <w:rsid w:val="00104ED1"/>
    <w:rsid w:val="00107728"/>
    <w:rsid w:val="00146B64"/>
    <w:rsid w:val="00152A9A"/>
    <w:rsid w:val="00193C54"/>
    <w:rsid w:val="001C3AA2"/>
    <w:rsid w:val="001E378D"/>
    <w:rsid w:val="00210F18"/>
    <w:rsid w:val="00226292"/>
    <w:rsid w:val="002638BC"/>
    <w:rsid w:val="0027743F"/>
    <w:rsid w:val="002A4D41"/>
    <w:rsid w:val="002B62D0"/>
    <w:rsid w:val="002D3B52"/>
    <w:rsid w:val="002E5A81"/>
    <w:rsid w:val="00344CF6"/>
    <w:rsid w:val="0036772B"/>
    <w:rsid w:val="0037733B"/>
    <w:rsid w:val="003A1B38"/>
    <w:rsid w:val="004014BB"/>
    <w:rsid w:val="00426D75"/>
    <w:rsid w:val="00427C16"/>
    <w:rsid w:val="00492779"/>
    <w:rsid w:val="004E2A66"/>
    <w:rsid w:val="004E7B24"/>
    <w:rsid w:val="004F4547"/>
    <w:rsid w:val="00501047"/>
    <w:rsid w:val="005037D3"/>
    <w:rsid w:val="00507A63"/>
    <w:rsid w:val="00541ACD"/>
    <w:rsid w:val="005605E4"/>
    <w:rsid w:val="005748D9"/>
    <w:rsid w:val="005C026D"/>
    <w:rsid w:val="005D41A9"/>
    <w:rsid w:val="0061401B"/>
    <w:rsid w:val="00647439"/>
    <w:rsid w:val="00675DC0"/>
    <w:rsid w:val="00682C5C"/>
    <w:rsid w:val="006937D4"/>
    <w:rsid w:val="006A7B9B"/>
    <w:rsid w:val="006B4CCE"/>
    <w:rsid w:val="006C09A6"/>
    <w:rsid w:val="006C10E5"/>
    <w:rsid w:val="007109EC"/>
    <w:rsid w:val="007404F8"/>
    <w:rsid w:val="00750B5B"/>
    <w:rsid w:val="00761437"/>
    <w:rsid w:val="007867B1"/>
    <w:rsid w:val="0079684C"/>
    <w:rsid w:val="007A31B6"/>
    <w:rsid w:val="008269C4"/>
    <w:rsid w:val="00827606"/>
    <w:rsid w:val="00827ABA"/>
    <w:rsid w:val="00870FC1"/>
    <w:rsid w:val="00882A0A"/>
    <w:rsid w:val="008A7E55"/>
    <w:rsid w:val="008B04CF"/>
    <w:rsid w:val="00964820"/>
    <w:rsid w:val="009735C5"/>
    <w:rsid w:val="00975353"/>
    <w:rsid w:val="00995536"/>
    <w:rsid w:val="009D7DF7"/>
    <w:rsid w:val="009E6240"/>
    <w:rsid w:val="00A1064F"/>
    <w:rsid w:val="00A10711"/>
    <w:rsid w:val="00A237B1"/>
    <w:rsid w:val="00A4452A"/>
    <w:rsid w:val="00A47935"/>
    <w:rsid w:val="00A56526"/>
    <w:rsid w:val="00A67497"/>
    <w:rsid w:val="00AA72DA"/>
    <w:rsid w:val="00B05194"/>
    <w:rsid w:val="00B075F5"/>
    <w:rsid w:val="00B354D6"/>
    <w:rsid w:val="00B95F10"/>
    <w:rsid w:val="00BD78C9"/>
    <w:rsid w:val="00C8559A"/>
    <w:rsid w:val="00CA13C5"/>
    <w:rsid w:val="00CA78D8"/>
    <w:rsid w:val="00CC4092"/>
    <w:rsid w:val="00CC5EC9"/>
    <w:rsid w:val="00CF1E23"/>
    <w:rsid w:val="00CF21D2"/>
    <w:rsid w:val="00D0636D"/>
    <w:rsid w:val="00D50A76"/>
    <w:rsid w:val="00DA6DA3"/>
    <w:rsid w:val="00DD44F4"/>
    <w:rsid w:val="00DE6D13"/>
    <w:rsid w:val="00E20F85"/>
    <w:rsid w:val="00E92BBC"/>
    <w:rsid w:val="00EC1E9F"/>
    <w:rsid w:val="00ED7418"/>
    <w:rsid w:val="00F6030C"/>
    <w:rsid w:val="00F974DA"/>
    <w:rsid w:val="00F97D55"/>
    <w:rsid w:val="00FA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092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0104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_tradn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kern w:val="2"/>
      <w:lang w:val="es-ES_tradnl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kern w:val="2"/>
      <w:lang w:val="es-ES_tradnl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5010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paragraph" w:styleId="NormalWeb">
    <w:name w:val="Normal (Web)"/>
    <w:basedOn w:val="Normal"/>
    <w:uiPriority w:val="99"/>
    <w:unhideWhenUsed/>
    <w:rsid w:val="0050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DO" w:eastAsia="es-DO"/>
    </w:rPr>
  </w:style>
  <w:style w:type="character" w:styleId="Fuerte">
    <w:name w:val="Strong"/>
    <w:basedOn w:val="Fuentedeprrafopredeter"/>
    <w:uiPriority w:val="22"/>
    <w:qFormat/>
    <w:rsid w:val="004F45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5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7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9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3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1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16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05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864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7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759842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0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EB351-5A6E-4BD5-9F6D-B1124F55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431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4</cp:revision>
  <dcterms:created xsi:type="dcterms:W3CDTF">2026-06-29T17:53:00Z</dcterms:created>
  <dcterms:modified xsi:type="dcterms:W3CDTF">2026-06-29T17:56:00Z</dcterms:modified>
</cp:coreProperties>
</file>