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72F49" w14:textId="77777777" w:rsidR="007F4FEB" w:rsidRPr="00C45EF5" w:rsidRDefault="007F4FEB" w:rsidP="002B389B">
      <w:pPr>
        <w:spacing w:after="0" w:line="240" w:lineRule="atLeast"/>
        <w:jc w:val="center"/>
        <w:rPr>
          <w:rFonts w:ascii="Cambria" w:hAnsi="Cambria"/>
          <w:b/>
          <w:sz w:val="25"/>
          <w:szCs w:val="25"/>
        </w:rPr>
      </w:pPr>
      <w:r w:rsidRPr="00C45EF5">
        <w:rPr>
          <w:rFonts w:ascii="Cambria" w:hAnsi="Cambria"/>
          <w:b/>
          <w:sz w:val="25"/>
          <w:szCs w:val="25"/>
        </w:rPr>
        <w:t>NOTA DE PRENSA</w:t>
      </w:r>
    </w:p>
    <w:p w14:paraId="4C0DFFBE" w14:textId="77777777" w:rsidR="007F4FEB" w:rsidRPr="00C45EF5" w:rsidRDefault="007F4FEB" w:rsidP="002B389B">
      <w:pPr>
        <w:spacing w:after="0" w:line="240" w:lineRule="atLeast"/>
        <w:jc w:val="center"/>
        <w:rPr>
          <w:rFonts w:ascii="Cambria" w:hAnsi="Cambria"/>
          <w:b/>
          <w:sz w:val="25"/>
          <w:szCs w:val="25"/>
        </w:rPr>
      </w:pPr>
    </w:p>
    <w:p w14:paraId="5018ECDF" w14:textId="77777777" w:rsidR="007F4FEB" w:rsidRPr="00C45EF5" w:rsidRDefault="007F4FEB" w:rsidP="002B389B">
      <w:pPr>
        <w:widowControl w:val="0"/>
        <w:spacing w:after="0" w:line="240" w:lineRule="atLeast"/>
        <w:jc w:val="center"/>
        <w:rPr>
          <w:rFonts w:ascii="Cambria" w:hAnsi="Cambria"/>
          <w:b/>
          <w:sz w:val="25"/>
          <w:szCs w:val="25"/>
        </w:rPr>
      </w:pPr>
      <w:r w:rsidRPr="00C45EF5">
        <w:rPr>
          <w:rFonts w:ascii="Cambria" w:hAnsi="Cambria"/>
          <w:b/>
          <w:sz w:val="25"/>
          <w:szCs w:val="25"/>
        </w:rPr>
        <w:t>CARD saluda y califica como un acto de valentía y responsabilidad política la promulgación del nuevo Código Penal por parte del presidente Abinader</w:t>
      </w:r>
    </w:p>
    <w:p w14:paraId="67440079" w14:textId="77777777" w:rsidR="007F4FEB" w:rsidRPr="00C45EF5" w:rsidRDefault="007F4FEB" w:rsidP="002B389B">
      <w:pPr>
        <w:spacing w:after="0" w:line="240" w:lineRule="atLeast"/>
        <w:jc w:val="center"/>
        <w:rPr>
          <w:rFonts w:ascii="Cambria" w:hAnsi="Cambria"/>
          <w:b/>
          <w:sz w:val="25"/>
          <w:szCs w:val="25"/>
        </w:rPr>
      </w:pPr>
    </w:p>
    <w:p w14:paraId="36D31D84" w14:textId="77777777" w:rsidR="007F4FEB" w:rsidRPr="00C45EF5" w:rsidRDefault="007F4FEB" w:rsidP="002B389B">
      <w:pPr>
        <w:widowControl w:val="0"/>
        <w:spacing w:after="0" w:line="240" w:lineRule="atLeast"/>
        <w:jc w:val="center"/>
        <w:rPr>
          <w:rFonts w:ascii="Cambria" w:hAnsi="Cambria"/>
          <w:b/>
          <w:sz w:val="25"/>
          <w:szCs w:val="25"/>
        </w:rPr>
      </w:pPr>
      <w:r w:rsidRPr="00C45EF5">
        <w:rPr>
          <w:rFonts w:ascii="Cambria" w:hAnsi="Cambria"/>
          <w:b/>
          <w:sz w:val="25"/>
          <w:szCs w:val="25"/>
        </w:rPr>
        <w:t>Trajano Potentini resalta avances logrados y asegura que con esta decisión se pone fin a una legislación obsoleta</w:t>
      </w:r>
    </w:p>
    <w:p w14:paraId="4B1D1118" w14:textId="77777777" w:rsidR="002B389B" w:rsidRPr="00C45EF5" w:rsidRDefault="002B389B" w:rsidP="002B389B">
      <w:pPr>
        <w:widowControl w:val="0"/>
        <w:spacing w:after="0" w:line="240" w:lineRule="atLeast"/>
        <w:jc w:val="center"/>
        <w:rPr>
          <w:rFonts w:ascii="Cambria" w:hAnsi="Cambria"/>
          <w:b/>
          <w:sz w:val="25"/>
          <w:szCs w:val="25"/>
        </w:rPr>
      </w:pPr>
    </w:p>
    <w:p w14:paraId="7D6A3982" w14:textId="3CBFB3A5" w:rsidR="002B389B" w:rsidRPr="00C45EF5" w:rsidRDefault="002B389B" w:rsidP="002B389B">
      <w:pPr>
        <w:widowControl w:val="0"/>
        <w:spacing w:after="0" w:line="240" w:lineRule="atLeast"/>
        <w:jc w:val="center"/>
        <w:rPr>
          <w:rFonts w:ascii="Cambria" w:hAnsi="Cambria"/>
          <w:b/>
          <w:sz w:val="25"/>
          <w:szCs w:val="25"/>
        </w:rPr>
      </w:pPr>
      <w:r w:rsidRPr="00C45EF5">
        <w:rPr>
          <w:rFonts w:ascii="Cambria" w:hAnsi="Cambria"/>
          <w:b/>
          <w:sz w:val="25"/>
          <w:szCs w:val="25"/>
        </w:rPr>
        <w:t>Colegio de Abogados anuncia jornada de socialización y conocimiento de la nueva normativa para garantizar su exitosa implementación</w:t>
      </w:r>
    </w:p>
    <w:p w14:paraId="5C201895" w14:textId="77777777" w:rsidR="007F4FEB" w:rsidRPr="00C45EF5" w:rsidRDefault="007F4FEB" w:rsidP="002B389B">
      <w:pPr>
        <w:spacing w:after="0" w:line="240" w:lineRule="atLeast"/>
        <w:jc w:val="both"/>
        <w:rPr>
          <w:rFonts w:ascii="Cambria" w:hAnsi="Cambria"/>
          <w:b/>
          <w:sz w:val="25"/>
          <w:szCs w:val="25"/>
        </w:rPr>
      </w:pPr>
    </w:p>
    <w:p w14:paraId="565BFED8" w14:textId="0F953E3C" w:rsidR="007F4FEB" w:rsidRPr="00C45EF5" w:rsidRDefault="007F4FEB" w:rsidP="002B389B">
      <w:pPr>
        <w:pStyle w:val="NormalWeb"/>
        <w:shd w:val="clear" w:color="auto" w:fill="FFFFFF"/>
        <w:spacing w:before="0" w:beforeAutospacing="0" w:after="0" w:afterAutospacing="0" w:line="240" w:lineRule="atLeast"/>
        <w:jc w:val="both"/>
        <w:rPr>
          <w:rFonts w:ascii="Cambria" w:eastAsiaTheme="minorEastAsia" w:hAnsi="Cambria" w:cstheme="minorBidi"/>
          <w:sz w:val="25"/>
          <w:szCs w:val="25"/>
          <w:lang w:eastAsia="en-US"/>
        </w:rPr>
      </w:pPr>
      <w:r w:rsidRPr="00C45EF5">
        <w:rPr>
          <w:rFonts w:ascii="Cambria" w:hAnsi="Cambria" w:cs="Calibri"/>
          <w:b/>
          <w:bCs/>
          <w:sz w:val="25"/>
          <w:szCs w:val="25"/>
        </w:rPr>
        <w:t xml:space="preserve">Santo Domingo, República Dominicana - 04 de </w:t>
      </w:r>
      <w:r w:rsidRPr="00C45EF5">
        <w:rPr>
          <w:rFonts w:ascii="Cambria" w:eastAsia="Google Sans Text" w:hAnsi="Cambria"/>
          <w:b/>
          <w:sz w:val="25"/>
          <w:szCs w:val="25"/>
        </w:rPr>
        <w:t>agosto de 2025</w:t>
      </w:r>
      <w:r w:rsidRPr="00C45EF5">
        <w:rPr>
          <w:rFonts w:ascii="Cambria" w:eastAsia="Google Sans Text" w:hAnsi="Cambria"/>
          <w:sz w:val="25"/>
          <w:szCs w:val="25"/>
        </w:rPr>
        <w:t xml:space="preserve"> -</w:t>
      </w:r>
      <w:r w:rsidRPr="00C45EF5">
        <w:rPr>
          <w:rFonts w:ascii="Cambria" w:eastAsiaTheme="minorEastAsia" w:hAnsi="Cambria" w:cstheme="minorBidi"/>
          <w:sz w:val="25"/>
          <w:szCs w:val="25"/>
          <w:lang w:eastAsia="en-US"/>
        </w:rPr>
        <w:t>El Colegio de Abogados de la República Dominicana (CARD), saludó y calificó como un acto de valentía y responsabilidad política la promulgación del nuevo Código Penal</w:t>
      </w:r>
      <w:r w:rsidR="00C45EF5" w:rsidRPr="00C45EF5">
        <w:rPr>
          <w:rFonts w:ascii="Cambria" w:eastAsiaTheme="minorEastAsia" w:hAnsi="Cambria" w:cstheme="minorBidi"/>
          <w:sz w:val="25"/>
          <w:szCs w:val="25"/>
          <w:lang w:eastAsia="en-US"/>
        </w:rPr>
        <w:t xml:space="preserve"> </w:t>
      </w:r>
      <w:r w:rsidR="00C45EF5" w:rsidRPr="00C45EF5">
        <w:rPr>
          <w:rFonts w:ascii="Cambria" w:eastAsiaTheme="minorEastAsia" w:hAnsi="Cambria" w:cstheme="minorBidi"/>
          <w:b/>
          <w:bCs/>
          <w:sz w:val="25"/>
          <w:szCs w:val="25"/>
          <w:lang w:eastAsia="en-US"/>
        </w:rPr>
        <w:t>(Ley No. 74-25)</w:t>
      </w:r>
      <w:r w:rsidR="002B389B" w:rsidRPr="00C45EF5">
        <w:rPr>
          <w:rFonts w:ascii="Cambria" w:eastAsiaTheme="minorEastAsia" w:hAnsi="Cambria" w:cstheme="minorBidi"/>
          <w:sz w:val="25"/>
          <w:szCs w:val="25"/>
          <w:lang w:eastAsia="en-US"/>
        </w:rPr>
        <w:t>,</w:t>
      </w:r>
      <w:r w:rsidRPr="00C45EF5">
        <w:rPr>
          <w:rFonts w:ascii="Cambria" w:eastAsiaTheme="minorEastAsia" w:hAnsi="Cambria" w:cstheme="minorBidi"/>
          <w:sz w:val="25"/>
          <w:szCs w:val="25"/>
          <w:lang w:eastAsia="en-US"/>
        </w:rPr>
        <w:t xml:space="preserve"> por parte del presidente de la República, Luis Abinader, destacando que con esta medida se cierra un capítulo marcado por una legislación desfasada y obsoleta, heredada de los franceses, con los denominados códigos napoleónicos de inicio del </w:t>
      </w:r>
      <w:r w:rsidR="002B389B" w:rsidRPr="00C45EF5">
        <w:rPr>
          <w:rFonts w:ascii="Cambria" w:eastAsiaTheme="minorEastAsia" w:hAnsi="Cambria" w:cstheme="minorBidi"/>
          <w:sz w:val="25"/>
          <w:szCs w:val="25"/>
          <w:lang w:eastAsia="en-US"/>
        </w:rPr>
        <w:t xml:space="preserve">pasado </w:t>
      </w:r>
      <w:r w:rsidRPr="00C45EF5">
        <w:rPr>
          <w:rFonts w:ascii="Cambria" w:eastAsiaTheme="minorEastAsia" w:hAnsi="Cambria" w:cstheme="minorBidi"/>
          <w:sz w:val="25"/>
          <w:szCs w:val="25"/>
          <w:lang w:eastAsia="en-US"/>
        </w:rPr>
        <w:t>siglo XIX, con ello se abre el camino a un marco jurídico penal más moderno, justo y adaptado a los retos actuales de la sociedad dominicana y en particular a las nuevas exigencias de la política criminal del estado, imbuida por la necesidad de combatir una nueva y tecnologizada criminalidad organizada.</w:t>
      </w:r>
    </w:p>
    <w:p w14:paraId="224C81D5" w14:textId="77777777" w:rsidR="007F4FEB" w:rsidRPr="00C45EF5" w:rsidRDefault="007F4FEB" w:rsidP="002B389B">
      <w:pPr>
        <w:spacing w:after="0" w:line="240" w:lineRule="atLeast"/>
        <w:jc w:val="both"/>
        <w:rPr>
          <w:rFonts w:ascii="Cambria" w:eastAsiaTheme="minorEastAsia" w:hAnsi="Cambria"/>
          <w:sz w:val="25"/>
          <w:szCs w:val="25"/>
        </w:rPr>
      </w:pPr>
    </w:p>
    <w:p w14:paraId="6C1D884A" w14:textId="1406A89F" w:rsidR="007F4FEB" w:rsidRPr="00C45EF5" w:rsidRDefault="007F4FEB" w:rsidP="002B389B">
      <w:pPr>
        <w:spacing w:after="0" w:line="240" w:lineRule="atLeast"/>
        <w:jc w:val="both"/>
        <w:rPr>
          <w:rFonts w:ascii="Cambria" w:eastAsiaTheme="minorEastAsia" w:hAnsi="Cambria"/>
          <w:sz w:val="25"/>
          <w:szCs w:val="25"/>
        </w:rPr>
      </w:pPr>
      <w:r w:rsidRPr="00C45EF5">
        <w:rPr>
          <w:rFonts w:ascii="Cambria" w:hAnsi="Cambria"/>
          <w:sz w:val="25"/>
          <w:szCs w:val="25"/>
        </w:rPr>
        <w:t xml:space="preserve">Para </w:t>
      </w:r>
      <w:r w:rsidRPr="00C45EF5">
        <w:rPr>
          <w:rFonts w:ascii="Cambria" w:hAnsi="Cambria"/>
          <w:bCs/>
          <w:sz w:val="25"/>
          <w:szCs w:val="25"/>
        </w:rPr>
        <w:t>Trajano Potentini, presidente del</w:t>
      </w:r>
      <w:r w:rsidRPr="00C45EF5">
        <w:rPr>
          <w:rFonts w:ascii="Cambria" w:hAnsi="Cambria"/>
          <w:b/>
          <w:sz w:val="25"/>
          <w:szCs w:val="25"/>
        </w:rPr>
        <w:t xml:space="preserve"> CARD</w:t>
      </w:r>
      <w:r w:rsidRPr="00C45EF5">
        <w:rPr>
          <w:rFonts w:ascii="Cambria" w:hAnsi="Cambria"/>
          <w:sz w:val="25"/>
          <w:szCs w:val="25"/>
        </w:rPr>
        <w:t xml:space="preserve">, "La promulgación de </w:t>
      </w:r>
      <w:r w:rsidR="00C45EF5">
        <w:rPr>
          <w:rFonts w:ascii="Cambria" w:hAnsi="Cambria"/>
          <w:sz w:val="25"/>
          <w:szCs w:val="25"/>
        </w:rPr>
        <w:t xml:space="preserve">la </w:t>
      </w:r>
      <w:r w:rsidR="00C45EF5" w:rsidRPr="00C45EF5">
        <w:rPr>
          <w:rFonts w:ascii="Cambria" w:eastAsiaTheme="minorEastAsia" w:hAnsi="Cambria"/>
          <w:sz w:val="26"/>
          <w:szCs w:val="26"/>
        </w:rPr>
        <w:t>Ley No. 74-25, nuevo</w:t>
      </w:r>
      <w:r w:rsidR="00C45EF5">
        <w:rPr>
          <w:rFonts w:ascii="Cambria" w:eastAsiaTheme="minorEastAsia" w:hAnsi="Cambria"/>
          <w:b/>
          <w:bCs/>
          <w:sz w:val="26"/>
          <w:szCs w:val="26"/>
        </w:rPr>
        <w:t xml:space="preserve"> </w:t>
      </w:r>
      <w:r w:rsidRPr="00C45EF5">
        <w:rPr>
          <w:rFonts w:ascii="Cambria" w:hAnsi="Cambria"/>
          <w:sz w:val="25"/>
          <w:szCs w:val="25"/>
        </w:rPr>
        <w:t>Código Penal</w:t>
      </w:r>
      <w:r w:rsidR="00C45EF5">
        <w:rPr>
          <w:rFonts w:ascii="Cambria" w:hAnsi="Cambria"/>
          <w:sz w:val="25"/>
          <w:szCs w:val="25"/>
        </w:rPr>
        <w:t xml:space="preserve">, marca </w:t>
      </w:r>
      <w:r w:rsidRPr="00C45EF5">
        <w:rPr>
          <w:rFonts w:ascii="Cambria" w:hAnsi="Cambria"/>
          <w:sz w:val="25"/>
          <w:szCs w:val="25"/>
        </w:rPr>
        <w:t xml:space="preserve">el </w:t>
      </w:r>
      <w:r w:rsidRPr="00C45EF5">
        <w:rPr>
          <w:rFonts w:ascii="Cambria" w:hAnsi="Cambria"/>
          <w:bCs/>
          <w:sz w:val="25"/>
          <w:szCs w:val="25"/>
        </w:rPr>
        <w:t>final de una legislación obsoleta</w:t>
      </w:r>
      <w:r w:rsidRPr="00C45EF5">
        <w:rPr>
          <w:rFonts w:ascii="Cambria" w:hAnsi="Cambria"/>
          <w:sz w:val="25"/>
          <w:szCs w:val="25"/>
        </w:rPr>
        <w:t xml:space="preserve"> que, durante décadas, ha representado un freno significativo para el desarrollo de un sistema de justicia moderno, ágil y eficaz en la República Dominicana" </w:t>
      </w:r>
      <w:r w:rsidRPr="00C45EF5">
        <w:rPr>
          <w:rFonts w:ascii="Cambria" w:eastAsiaTheme="minorEastAsia" w:hAnsi="Cambria"/>
          <w:sz w:val="25"/>
          <w:szCs w:val="25"/>
        </w:rPr>
        <w:t>“El viejo Código Penal, vigente desde 1884, ya no reflejaba las complejidades del crimen moderno ni garantizaba una respuesta oportuna del sistema de justicia ante nuevas formas de criminalidad. Con esta promulgación, se pone fin a una legislación obsoleta y se inaugura un nuevo paradigma de justicia penal”.</w:t>
      </w:r>
    </w:p>
    <w:p w14:paraId="44027CC3" w14:textId="77777777" w:rsidR="007F4FEB" w:rsidRPr="00C45EF5" w:rsidRDefault="007F4FEB" w:rsidP="002B389B">
      <w:pPr>
        <w:spacing w:after="0" w:line="240" w:lineRule="atLeast"/>
        <w:jc w:val="both"/>
        <w:rPr>
          <w:rFonts w:ascii="Cambria" w:hAnsi="Cambria"/>
          <w:sz w:val="25"/>
          <w:szCs w:val="25"/>
        </w:rPr>
      </w:pPr>
    </w:p>
    <w:p w14:paraId="2E7924AD" w14:textId="0409C268" w:rsidR="007F4FEB" w:rsidRDefault="007F4FEB" w:rsidP="002B389B">
      <w:pPr>
        <w:widowControl w:val="0"/>
        <w:spacing w:after="0" w:line="240" w:lineRule="atLeast"/>
        <w:jc w:val="both"/>
        <w:rPr>
          <w:rFonts w:ascii="Cambria" w:eastAsiaTheme="minorEastAsia" w:hAnsi="Cambria"/>
          <w:sz w:val="25"/>
          <w:szCs w:val="25"/>
        </w:rPr>
      </w:pPr>
      <w:r w:rsidRPr="00C45EF5">
        <w:rPr>
          <w:rFonts w:ascii="Cambria" w:eastAsiaTheme="minorEastAsia" w:hAnsi="Cambria"/>
          <w:sz w:val="25"/>
          <w:szCs w:val="25"/>
        </w:rPr>
        <w:t xml:space="preserve">El Colegio de Abogados valoró los múltiples avances introducidos en el nuevo cuerpo normativo, destacando la </w:t>
      </w:r>
      <w:r w:rsidRPr="00C45EF5">
        <w:rPr>
          <w:rFonts w:ascii="Cambria" w:hAnsi="Cambria"/>
          <w:sz w:val="25"/>
          <w:szCs w:val="25"/>
        </w:rPr>
        <w:t xml:space="preserve">tipificación de nuevos delitos y modernización de existentes, </w:t>
      </w:r>
      <w:r w:rsidRPr="00C45EF5">
        <w:rPr>
          <w:rFonts w:ascii="Cambria" w:eastAsiaTheme="minorEastAsia" w:hAnsi="Cambria"/>
          <w:sz w:val="25"/>
          <w:szCs w:val="25"/>
        </w:rPr>
        <w:t xml:space="preserve">como el feminicidio, sicariato, el acoso laboral, el cibercrimen, los delitos contra la integridad sexual, </w:t>
      </w:r>
      <w:r w:rsidR="002B389B" w:rsidRPr="00C45EF5">
        <w:rPr>
          <w:rFonts w:ascii="Cambria" w:eastAsiaTheme="minorEastAsia" w:hAnsi="Cambria"/>
          <w:sz w:val="25"/>
          <w:szCs w:val="25"/>
        </w:rPr>
        <w:t xml:space="preserve">el </w:t>
      </w:r>
      <w:r w:rsidR="00D72595" w:rsidRPr="00C45EF5">
        <w:rPr>
          <w:rFonts w:ascii="Cambria" w:eastAsiaTheme="minorEastAsia" w:hAnsi="Cambria"/>
          <w:sz w:val="25"/>
          <w:szCs w:val="25"/>
        </w:rPr>
        <w:t>cúmulo</w:t>
      </w:r>
      <w:r w:rsidR="002B389B" w:rsidRPr="00C45EF5">
        <w:rPr>
          <w:rFonts w:ascii="Cambria" w:eastAsiaTheme="minorEastAsia" w:hAnsi="Cambria"/>
          <w:sz w:val="25"/>
          <w:szCs w:val="25"/>
        </w:rPr>
        <w:t xml:space="preserve"> de penas, </w:t>
      </w:r>
      <w:r w:rsidRPr="00C45EF5">
        <w:rPr>
          <w:rFonts w:ascii="Cambria" w:eastAsiaTheme="minorEastAsia" w:hAnsi="Cambria"/>
          <w:sz w:val="25"/>
          <w:szCs w:val="25"/>
        </w:rPr>
        <w:t xml:space="preserve">el notorio </w:t>
      </w:r>
      <w:r w:rsidRPr="00C45EF5">
        <w:rPr>
          <w:rFonts w:ascii="Cambria" w:hAnsi="Cambria"/>
          <w:sz w:val="25"/>
          <w:szCs w:val="25"/>
        </w:rPr>
        <w:t xml:space="preserve">avance en el abordaje de la violencia de género y protección a víctimas, </w:t>
      </w:r>
      <w:r w:rsidRPr="00C45EF5">
        <w:rPr>
          <w:rFonts w:ascii="Cambria" w:eastAsiaTheme="minorEastAsia" w:hAnsi="Cambria"/>
          <w:sz w:val="25"/>
          <w:szCs w:val="25"/>
        </w:rPr>
        <w:t>entre otros flagelos que afectan a la sociedad dominicana.</w:t>
      </w:r>
    </w:p>
    <w:p w14:paraId="494D572A" w14:textId="77777777" w:rsidR="00C45EF5" w:rsidRPr="00C45EF5" w:rsidRDefault="00C45EF5" w:rsidP="002B389B">
      <w:pPr>
        <w:widowControl w:val="0"/>
        <w:spacing w:after="0" w:line="240" w:lineRule="atLeast"/>
        <w:jc w:val="both"/>
        <w:rPr>
          <w:rFonts w:ascii="Cambria" w:eastAsiaTheme="minorEastAsia" w:hAnsi="Cambria"/>
          <w:sz w:val="25"/>
          <w:szCs w:val="25"/>
        </w:rPr>
      </w:pPr>
    </w:p>
    <w:p w14:paraId="7E6730BE" w14:textId="77777777" w:rsidR="007F4FEB" w:rsidRPr="00C45EF5" w:rsidRDefault="007F4FEB" w:rsidP="002B389B">
      <w:pPr>
        <w:spacing w:after="0" w:line="240" w:lineRule="atLeast"/>
        <w:jc w:val="both"/>
        <w:rPr>
          <w:rFonts w:ascii="Cambria" w:eastAsiaTheme="minorEastAsia" w:hAnsi="Cambria"/>
          <w:sz w:val="25"/>
          <w:szCs w:val="25"/>
        </w:rPr>
      </w:pPr>
      <w:r w:rsidRPr="00C45EF5">
        <w:rPr>
          <w:rFonts w:ascii="Cambria" w:eastAsiaTheme="minorEastAsia" w:hAnsi="Cambria"/>
          <w:sz w:val="25"/>
          <w:szCs w:val="25"/>
        </w:rPr>
        <w:lastRenderedPageBreak/>
        <w:t>Asimismo, se destacó el fortalecimiento de las garantías procesales, el enfoque en los derechos humanos, y la adaptación del código a los compromisos internacionales asumidos por la República Dominicana en materia de derecho penal y derechos fundamentales.</w:t>
      </w:r>
    </w:p>
    <w:p w14:paraId="57C5D54B" w14:textId="77777777" w:rsidR="007F4FEB" w:rsidRPr="00C45EF5" w:rsidRDefault="007F4FEB" w:rsidP="002B389B">
      <w:pPr>
        <w:spacing w:after="0" w:line="240" w:lineRule="atLeast"/>
        <w:jc w:val="both"/>
        <w:rPr>
          <w:rFonts w:ascii="Cambria" w:eastAsiaTheme="minorEastAsia" w:hAnsi="Cambria"/>
          <w:sz w:val="25"/>
          <w:szCs w:val="25"/>
        </w:rPr>
      </w:pPr>
    </w:p>
    <w:p w14:paraId="1F092DB1" w14:textId="43956655" w:rsidR="007F4FEB" w:rsidRPr="00C45EF5" w:rsidRDefault="007F4FEB" w:rsidP="002B389B">
      <w:pPr>
        <w:spacing w:after="0" w:line="240" w:lineRule="atLeast"/>
        <w:jc w:val="both"/>
        <w:rPr>
          <w:rFonts w:ascii="Cambria" w:hAnsi="Cambria"/>
          <w:bCs/>
          <w:sz w:val="25"/>
          <w:szCs w:val="25"/>
        </w:rPr>
      </w:pPr>
      <w:r w:rsidRPr="00C45EF5">
        <w:rPr>
          <w:rFonts w:ascii="Cambria" w:hAnsi="Cambria"/>
          <w:sz w:val="25"/>
          <w:szCs w:val="25"/>
        </w:rPr>
        <w:t xml:space="preserve">Una de las deficiencias más notorias del código anterior era su incapacidad para abordar las nuevas modalidades delictivas surgidas con la globalización y el avance tecnológico. El nuevo Código Penal subsana esta carencia al incorporar de manera explícita y detallada delitos como el </w:t>
      </w:r>
      <w:r w:rsidRPr="00C45EF5">
        <w:rPr>
          <w:rFonts w:ascii="Cambria" w:hAnsi="Cambria"/>
          <w:bCs/>
          <w:sz w:val="25"/>
          <w:szCs w:val="25"/>
        </w:rPr>
        <w:t>cibercrimen en todas sus vertientes</w:t>
      </w:r>
      <w:r w:rsidRPr="00C45EF5">
        <w:rPr>
          <w:rFonts w:ascii="Cambria" w:hAnsi="Cambria"/>
          <w:sz w:val="25"/>
          <w:szCs w:val="25"/>
        </w:rPr>
        <w:t xml:space="preserve"> (desde el fraude informático hasta la pornografía infantil en línea), la </w:t>
      </w:r>
      <w:r w:rsidRPr="00C45EF5">
        <w:rPr>
          <w:rFonts w:ascii="Cambria" w:hAnsi="Cambria"/>
          <w:bCs/>
          <w:sz w:val="25"/>
          <w:szCs w:val="25"/>
        </w:rPr>
        <w:t>trata de personas</w:t>
      </w:r>
      <w:r w:rsidRPr="00C45EF5">
        <w:rPr>
          <w:rFonts w:ascii="Cambria" w:hAnsi="Cambria"/>
          <w:sz w:val="25"/>
          <w:szCs w:val="25"/>
        </w:rPr>
        <w:t xml:space="preserve">, la </w:t>
      </w:r>
      <w:r w:rsidRPr="00C45EF5">
        <w:rPr>
          <w:rFonts w:ascii="Cambria" w:hAnsi="Cambria"/>
          <w:bCs/>
          <w:sz w:val="25"/>
          <w:szCs w:val="25"/>
        </w:rPr>
        <w:t>explotación sexual comercial, el lavado de activos</w:t>
      </w:r>
      <w:r w:rsidRPr="00C45EF5">
        <w:rPr>
          <w:rFonts w:ascii="Cambria" w:hAnsi="Cambria"/>
          <w:sz w:val="25"/>
          <w:szCs w:val="25"/>
        </w:rPr>
        <w:t xml:space="preserve"> con una definición más amplia y adaptada a los estándares internacionales, diversas formas de </w:t>
      </w:r>
      <w:r w:rsidRPr="00C45EF5">
        <w:rPr>
          <w:rFonts w:ascii="Cambria" w:hAnsi="Cambria"/>
          <w:bCs/>
          <w:sz w:val="25"/>
          <w:szCs w:val="25"/>
        </w:rPr>
        <w:t xml:space="preserve">corrupción administrativa. </w:t>
      </w:r>
    </w:p>
    <w:p w14:paraId="3E2A952D" w14:textId="77777777" w:rsidR="007F4FEB" w:rsidRPr="00C45EF5" w:rsidRDefault="007F4FEB" w:rsidP="002B389B">
      <w:pPr>
        <w:spacing w:after="0" w:line="240" w:lineRule="atLeast"/>
        <w:jc w:val="both"/>
        <w:rPr>
          <w:rFonts w:ascii="Cambria" w:hAnsi="Cambria"/>
          <w:sz w:val="25"/>
          <w:szCs w:val="25"/>
        </w:rPr>
      </w:pPr>
    </w:p>
    <w:p w14:paraId="073C97FB" w14:textId="3715D4A1" w:rsidR="007F4FEB" w:rsidRPr="00C45EF5" w:rsidRDefault="007F4FEB" w:rsidP="002B389B">
      <w:pPr>
        <w:spacing w:after="0" w:line="240" w:lineRule="atLeast"/>
        <w:jc w:val="both"/>
        <w:rPr>
          <w:rFonts w:ascii="Cambria" w:eastAsiaTheme="minorEastAsia" w:hAnsi="Cambria"/>
          <w:sz w:val="25"/>
          <w:szCs w:val="25"/>
        </w:rPr>
      </w:pPr>
      <w:r w:rsidRPr="00C45EF5">
        <w:rPr>
          <w:rFonts w:ascii="Cambria" w:eastAsiaTheme="minorEastAsia" w:hAnsi="Cambria"/>
          <w:sz w:val="25"/>
          <w:szCs w:val="25"/>
        </w:rPr>
        <w:t>Trajano Potentini también anunció que el CARD</w:t>
      </w:r>
      <w:r w:rsidR="00842030" w:rsidRPr="00C45EF5">
        <w:rPr>
          <w:rFonts w:ascii="Cambria" w:eastAsiaTheme="minorEastAsia" w:hAnsi="Cambria"/>
          <w:sz w:val="25"/>
          <w:szCs w:val="25"/>
        </w:rPr>
        <w:t>,</w:t>
      </w:r>
      <w:r w:rsidRPr="00C45EF5">
        <w:rPr>
          <w:rFonts w:ascii="Cambria" w:eastAsiaTheme="minorEastAsia" w:hAnsi="Cambria"/>
          <w:sz w:val="25"/>
          <w:szCs w:val="25"/>
        </w:rPr>
        <w:t xml:space="preserve"> </w:t>
      </w:r>
      <w:r w:rsidR="002B389B" w:rsidRPr="00C45EF5">
        <w:rPr>
          <w:rFonts w:ascii="Cambria" w:hAnsi="Cambria"/>
          <w:sz w:val="25"/>
          <w:szCs w:val="25"/>
        </w:rPr>
        <w:t xml:space="preserve">fiel a su rol de garante de la práctica profesional y defensor de la justicia, reitera su </w:t>
      </w:r>
      <w:r w:rsidR="002B389B" w:rsidRPr="00C45EF5">
        <w:rPr>
          <w:rFonts w:ascii="Cambria" w:hAnsi="Cambria"/>
          <w:bCs/>
          <w:sz w:val="25"/>
          <w:szCs w:val="25"/>
        </w:rPr>
        <w:t>disposición inquebrantable a colaborar activamente</w:t>
      </w:r>
      <w:r w:rsidR="002B389B" w:rsidRPr="00C45EF5">
        <w:rPr>
          <w:rFonts w:ascii="Cambria" w:hAnsi="Cambria"/>
          <w:sz w:val="25"/>
          <w:szCs w:val="25"/>
        </w:rPr>
        <w:t xml:space="preserve"> con el Poder Judicial, el Ministerio Público, la Defensa Pública y todas las instituciones relacionadas con la administración de justicia para asegurar una implementación exitosa y efectiva del nuevo Código</w:t>
      </w:r>
      <w:r w:rsidR="00C45EF5" w:rsidRPr="00C45EF5">
        <w:rPr>
          <w:rFonts w:ascii="Cambria" w:hAnsi="Cambria"/>
          <w:sz w:val="25"/>
          <w:szCs w:val="25"/>
        </w:rPr>
        <w:t>,</w:t>
      </w:r>
      <w:r w:rsidR="00C45EF5">
        <w:rPr>
          <w:rFonts w:ascii="Cambria" w:hAnsi="Cambria"/>
          <w:sz w:val="25"/>
          <w:szCs w:val="25"/>
        </w:rPr>
        <w:t xml:space="preserve"> </w:t>
      </w:r>
      <w:r w:rsidR="00C45EF5" w:rsidRPr="00C45EF5">
        <w:rPr>
          <w:rFonts w:ascii="Cambria" w:eastAsiaTheme="minorEastAsia" w:hAnsi="Cambria"/>
          <w:b/>
          <w:bCs/>
          <w:sz w:val="25"/>
          <w:szCs w:val="25"/>
        </w:rPr>
        <w:t>(Ley No. 74-25)</w:t>
      </w:r>
      <w:r w:rsidR="002B389B" w:rsidRPr="00C45EF5">
        <w:rPr>
          <w:rFonts w:ascii="Cambria" w:hAnsi="Cambria"/>
          <w:sz w:val="25"/>
          <w:szCs w:val="25"/>
        </w:rPr>
        <w:t xml:space="preserve"> Penal. En este sentido, el CARD </w:t>
      </w:r>
      <w:r w:rsidRPr="00C45EF5">
        <w:rPr>
          <w:rFonts w:ascii="Cambria" w:eastAsiaTheme="minorEastAsia" w:hAnsi="Cambria"/>
          <w:sz w:val="25"/>
          <w:szCs w:val="25"/>
        </w:rPr>
        <w:t xml:space="preserve">pondrá en marcha un plan nacional de formación y difusión del nuevo código, a fin de garantizar que todos los profesionales del derecho y sectores vinculados estén debidamente capacitados para su correcta interpretación y aplicación, incluyendo además un levantamiento de aquellas disposiciones contenidas en los 393 artículos del código que pudieran ser mejoradas en el año de vacaciones judiciales previsto para </w:t>
      </w:r>
      <w:r w:rsidR="002B389B" w:rsidRPr="00C45EF5">
        <w:rPr>
          <w:rFonts w:ascii="Cambria" w:eastAsiaTheme="minorEastAsia" w:hAnsi="Cambria"/>
          <w:sz w:val="25"/>
          <w:szCs w:val="25"/>
        </w:rPr>
        <w:t>su</w:t>
      </w:r>
      <w:r w:rsidRPr="00C45EF5">
        <w:rPr>
          <w:rFonts w:ascii="Cambria" w:eastAsiaTheme="minorEastAsia" w:hAnsi="Cambria"/>
          <w:sz w:val="25"/>
          <w:szCs w:val="25"/>
        </w:rPr>
        <w:t xml:space="preserve"> entrada en vigencia, verificando y planteando algunas </w:t>
      </w:r>
      <w:r w:rsidR="00842030" w:rsidRPr="00C45EF5">
        <w:rPr>
          <w:rFonts w:ascii="Cambria" w:eastAsiaTheme="minorEastAsia" w:hAnsi="Cambria"/>
          <w:sz w:val="25"/>
          <w:szCs w:val="25"/>
        </w:rPr>
        <w:t xml:space="preserve">posibles </w:t>
      </w:r>
      <w:r w:rsidR="002B389B" w:rsidRPr="00C45EF5">
        <w:rPr>
          <w:rFonts w:ascii="Cambria" w:eastAsiaTheme="minorEastAsia" w:hAnsi="Cambria"/>
          <w:sz w:val="25"/>
          <w:szCs w:val="25"/>
        </w:rPr>
        <w:t>correcciones</w:t>
      </w:r>
      <w:r w:rsidR="00842030" w:rsidRPr="00C45EF5">
        <w:rPr>
          <w:rFonts w:ascii="Cambria" w:eastAsiaTheme="minorEastAsia" w:hAnsi="Cambria"/>
          <w:sz w:val="25"/>
          <w:szCs w:val="25"/>
        </w:rPr>
        <w:t>,</w:t>
      </w:r>
      <w:r w:rsidRPr="00C45EF5">
        <w:rPr>
          <w:rFonts w:ascii="Cambria" w:eastAsiaTheme="minorEastAsia" w:hAnsi="Cambria"/>
          <w:sz w:val="25"/>
          <w:szCs w:val="25"/>
        </w:rPr>
        <w:t xml:space="preserve"> en lo relativo a </w:t>
      </w:r>
      <w:r w:rsidR="00842030" w:rsidRPr="00C45EF5">
        <w:rPr>
          <w:rFonts w:ascii="Cambria" w:eastAsiaTheme="minorEastAsia" w:hAnsi="Cambria"/>
          <w:sz w:val="25"/>
          <w:szCs w:val="25"/>
        </w:rPr>
        <w:t xml:space="preserve">aspectos propios de </w:t>
      </w:r>
      <w:r w:rsidRPr="00C45EF5">
        <w:rPr>
          <w:rFonts w:ascii="Cambria" w:eastAsiaTheme="minorEastAsia" w:hAnsi="Cambria"/>
          <w:sz w:val="25"/>
          <w:szCs w:val="25"/>
        </w:rPr>
        <w:t xml:space="preserve">la libertad de expresión, </w:t>
      </w:r>
      <w:r w:rsidR="00842030" w:rsidRPr="00C45EF5">
        <w:rPr>
          <w:rFonts w:ascii="Cambria" w:eastAsiaTheme="minorEastAsia" w:hAnsi="Cambria"/>
          <w:sz w:val="25"/>
          <w:szCs w:val="25"/>
        </w:rPr>
        <w:t xml:space="preserve">los </w:t>
      </w:r>
      <w:r w:rsidRPr="00C45EF5">
        <w:rPr>
          <w:rFonts w:ascii="Cambria" w:eastAsiaTheme="minorEastAsia" w:hAnsi="Cambria"/>
          <w:sz w:val="25"/>
          <w:szCs w:val="25"/>
        </w:rPr>
        <w:t>delitos de alta tecnología y redes sociales, revisando también</w:t>
      </w:r>
      <w:r w:rsidR="002B389B" w:rsidRPr="00C45EF5">
        <w:rPr>
          <w:rFonts w:ascii="Cambria" w:eastAsiaTheme="minorEastAsia" w:hAnsi="Cambria"/>
          <w:sz w:val="25"/>
          <w:szCs w:val="25"/>
        </w:rPr>
        <w:t>,</w:t>
      </w:r>
      <w:r w:rsidRPr="00C45EF5">
        <w:rPr>
          <w:rFonts w:ascii="Cambria" w:eastAsiaTheme="minorEastAsia" w:hAnsi="Cambria"/>
          <w:sz w:val="25"/>
          <w:szCs w:val="25"/>
        </w:rPr>
        <w:t xml:space="preserve"> como </w:t>
      </w:r>
      <w:r w:rsidR="002B389B" w:rsidRPr="00C45EF5">
        <w:rPr>
          <w:rFonts w:ascii="Cambria" w:eastAsiaTheme="minorEastAsia" w:hAnsi="Cambria"/>
          <w:sz w:val="25"/>
          <w:szCs w:val="25"/>
        </w:rPr>
        <w:t>planteara</w:t>
      </w:r>
      <w:r w:rsidRPr="00C45EF5">
        <w:rPr>
          <w:rFonts w:ascii="Cambria" w:eastAsiaTheme="minorEastAsia" w:hAnsi="Cambria"/>
          <w:sz w:val="25"/>
          <w:szCs w:val="25"/>
        </w:rPr>
        <w:t xml:space="preserve"> a título de preocupación el magistrado Alejandro Vargas</w:t>
      </w:r>
      <w:r w:rsidR="002B389B" w:rsidRPr="00C45EF5">
        <w:rPr>
          <w:rFonts w:ascii="Cambria" w:eastAsiaTheme="minorEastAsia" w:hAnsi="Cambria"/>
          <w:sz w:val="25"/>
          <w:szCs w:val="25"/>
        </w:rPr>
        <w:t>,</w:t>
      </w:r>
      <w:r w:rsidRPr="00C45EF5">
        <w:rPr>
          <w:rFonts w:ascii="Cambria" w:eastAsiaTheme="minorEastAsia" w:hAnsi="Cambria"/>
          <w:sz w:val="25"/>
          <w:szCs w:val="25"/>
        </w:rPr>
        <w:t xml:space="preserve"> sobre la inflación punitiva del mínimum de las penas.</w:t>
      </w:r>
    </w:p>
    <w:p w14:paraId="05A119FA" w14:textId="77777777" w:rsidR="002B389B" w:rsidRPr="00C45EF5" w:rsidRDefault="002B389B" w:rsidP="002B389B">
      <w:pPr>
        <w:spacing w:after="0" w:line="240" w:lineRule="atLeast"/>
        <w:jc w:val="both"/>
        <w:rPr>
          <w:rFonts w:ascii="Cambria" w:eastAsiaTheme="minorEastAsia" w:hAnsi="Cambria"/>
          <w:sz w:val="25"/>
          <w:szCs w:val="25"/>
        </w:rPr>
      </w:pPr>
    </w:p>
    <w:p w14:paraId="4BA90F0E" w14:textId="57C39389" w:rsidR="007F4FEB" w:rsidRPr="00C45EF5" w:rsidRDefault="007F4FEB" w:rsidP="002B389B">
      <w:pPr>
        <w:spacing w:after="0" w:line="240" w:lineRule="atLeast"/>
        <w:jc w:val="both"/>
        <w:rPr>
          <w:rFonts w:ascii="Cambria" w:hAnsi="Cambria"/>
          <w:sz w:val="25"/>
          <w:szCs w:val="25"/>
        </w:rPr>
      </w:pPr>
      <w:r w:rsidRPr="00C45EF5">
        <w:rPr>
          <w:rFonts w:ascii="Cambria" w:eastAsiaTheme="minorEastAsia" w:hAnsi="Cambria"/>
          <w:sz w:val="25"/>
          <w:szCs w:val="25"/>
        </w:rPr>
        <w:t xml:space="preserve">“El pueblo dominicano ha dado un paso trascendental. Saludamos esta decisión del presidente </w:t>
      </w:r>
      <w:r w:rsidR="00842030" w:rsidRPr="00C45EF5">
        <w:rPr>
          <w:rFonts w:ascii="Cambria" w:eastAsiaTheme="minorEastAsia" w:hAnsi="Cambria"/>
          <w:sz w:val="25"/>
          <w:szCs w:val="25"/>
        </w:rPr>
        <w:t xml:space="preserve">Luis </w:t>
      </w:r>
      <w:r w:rsidRPr="00C45EF5">
        <w:rPr>
          <w:rFonts w:ascii="Cambria" w:eastAsiaTheme="minorEastAsia" w:hAnsi="Cambria"/>
          <w:sz w:val="25"/>
          <w:szCs w:val="25"/>
        </w:rPr>
        <w:t>Abinader como un acto de madurez democrática y compromiso institucional que será recordado por generaciones”, concluyó Potentini.</w:t>
      </w:r>
    </w:p>
    <w:p w14:paraId="4E25881A" w14:textId="77777777" w:rsidR="00B97452" w:rsidRPr="00C45EF5" w:rsidRDefault="00B97452" w:rsidP="002B389B">
      <w:pPr>
        <w:pStyle w:val="NormalWeb"/>
        <w:shd w:val="clear" w:color="auto" w:fill="FFFFFF"/>
        <w:spacing w:before="0" w:beforeAutospacing="0" w:after="0" w:afterAutospacing="0" w:line="240" w:lineRule="atLeast"/>
        <w:jc w:val="both"/>
        <w:rPr>
          <w:rFonts w:ascii="Cambria" w:hAnsi="Cambria" w:cs="Calibri"/>
          <w:b/>
          <w:bCs/>
          <w:sz w:val="25"/>
          <w:szCs w:val="25"/>
          <w:lang w:val="es-DO"/>
        </w:rPr>
      </w:pPr>
    </w:p>
    <w:p w14:paraId="36063989" w14:textId="1156E896" w:rsidR="00067062" w:rsidRPr="00C45EF5" w:rsidRDefault="00067062" w:rsidP="002B389B">
      <w:pPr>
        <w:pStyle w:val="NormalWeb"/>
        <w:shd w:val="clear" w:color="auto" w:fill="FFFFFF"/>
        <w:spacing w:before="0" w:beforeAutospacing="0" w:after="0" w:afterAutospacing="0" w:line="240" w:lineRule="atLeast"/>
        <w:jc w:val="center"/>
        <w:rPr>
          <w:rFonts w:ascii="Cambria" w:hAnsi="Cambria" w:cs="Calibri"/>
          <w:b/>
          <w:bCs/>
          <w:sz w:val="25"/>
          <w:szCs w:val="25"/>
        </w:rPr>
      </w:pPr>
      <w:r w:rsidRPr="00C45EF5">
        <w:rPr>
          <w:rFonts w:ascii="Cambria" w:hAnsi="Cambria" w:cs="Calibri"/>
          <w:b/>
          <w:bCs/>
          <w:sz w:val="25"/>
          <w:szCs w:val="25"/>
          <w:lang w:val="es-DO"/>
        </w:rPr>
        <w:t>DEPARTAMENTO DE COMUNICACIONES</w:t>
      </w:r>
    </w:p>
    <w:p w14:paraId="0146966B" w14:textId="46A971E1" w:rsidR="00492779" w:rsidRPr="00C45EF5" w:rsidRDefault="00492779" w:rsidP="002B389B">
      <w:pPr>
        <w:spacing w:after="0" w:line="240" w:lineRule="atLeast"/>
        <w:jc w:val="both"/>
        <w:rPr>
          <w:rFonts w:ascii="Cambria" w:hAnsi="Cambria"/>
          <w:b/>
          <w:bCs/>
          <w:sz w:val="25"/>
          <w:szCs w:val="25"/>
        </w:rPr>
      </w:pPr>
    </w:p>
    <w:sectPr w:rsidR="00492779" w:rsidRPr="00C45EF5"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2F266" w14:textId="77777777" w:rsidR="00516C1C" w:rsidRDefault="00516C1C" w:rsidP="007867B1">
      <w:pPr>
        <w:spacing w:after="0" w:line="240" w:lineRule="auto"/>
      </w:pPr>
      <w:r>
        <w:separator/>
      </w:r>
    </w:p>
  </w:endnote>
  <w:endnote w:type="continuationSeparator" w:id="0">
    <w:p w14:paraId="3BFD027C" w14:textId="77777777" w:rsidR="00516C1C" w:rsidRDefault="00516C1C"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oogle Sans Tex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7CA8" w14:textId="77777777" w:rsidR="00516C1C" w:rsidRDefault="00516C1C" w:rsidP="007867B1">
      <w:pPr>
        <w:spacing w:after="0" w:line="240" w:lineRule="auto"/>
      </w:pPr>
      <w:r>
        <w:separator/>
      </w:r>
    </w:p>
  </w:footnote>
  <w:footnote w:type="continuationSeparator" w:id="0">
    <w:p w14:paraId="2064B1FE" w14:textId="77777777" w:rsidR="00516C1C" w:rsidRDefault="00516C1C"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0F47A4"/>
    <w:rsid w:val="00186182"/>
    <w:rsid w:val="002B389B"/>
    <w:rsid w:val="002F70E5"/>
    <w:rsid w:val="00344CF6"/>
    <w:rsid w:val="00353100"/>
    <w:rsid w:val="00363BB4"/>
    <w:rsid w:val="003D19D6"/>
    <w:rsid w:val="003E588D"/>
    <w:rsid w:val="003F6C76"/>
    <w:rsid w:val="004014BB"/>
    <w:rsid w:val="00421AB9"/>
    <w:rsid w:val="00451D15"/>
    <w:rsid w:val="00492779"/>
    <w:rsid w:val="004B3774"/>
    <w:rsid w:val="00513F64"/>
    <w:rsid w:val="00516C1C"/>
    <w:rsid w:val="005A154A"/>
    <w:rsid w:val="00647439"/>
    <w:rsid w:val="00750D5F"/>
    <w:rsid w:val="007867B1"/>
    <w:rsid w:val="007F4FEB"/>
    <w:rsid w:val="007F6BA3"/>
    <w:rsid w:val="00842030"/>
    <w:rsid w:val="008525E7"/>
    <w:rsid w:val="0087762C"/>
    <w:rsid w:val="00882A0A"/>
    <w:rsid w:val="008D2279"/>
    <w:rsid w:val="008D42E9"/>
    <w:rsid w:val="009735C5"/>
    <w:rsid w:val="009D7DF7"/>
    <w:rsid w:val="00A1064F"/>
    <w:rsid w:val="00A10711"/>
    <w:rsid w:val="00AA4452"/>
    <w:rsid w:val="00B97452"/>
    <w:rsid w:val="00C45EF5"/>
    <w:rsid w:val="00C54404"/>
    <w:rsid w:val="00C63222"/>
    <w:rsid w:val="00CA13C5"/>
    <w:rsid w:val="00CF21D2"/>
    <w:rsid w:val="00D72595"/>
    <w:rsid w:val="00D93A45"/>
    <w:rsid w:val="00DD44F4"/>
    <w:rsid w:val="00E4388D"/>
    <w:rsid w:val="00E509CD"/>
    <w:rsid w:val="00E618F5"/>
    <w:rsid w:val="00E84C64"/>
    <w:rsid w:val="00EF5F80"/>
    <w:rsid w:val="00F6030C"/>
    <w:rsid w:val="00FE6A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3868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2025-08-04T12:26:00Z</dcterms:created>
  <dcterms:modified xsi:type="dcterms:W3CDTF">2025-08-04T12:26:00Z</dcterms:modified>
</cp:coreProperties>
</file>