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07BF1" w14:textId="77777777" w:rsidR="00B53C5C" w:rsidRPr="00B53C5C" w:rsidRDefault="00B53C5C" w:rsidP="00843FBD">
      <w:pPr>
        <w:spacing w:after="0" w:line="240" w:lineRule="atLeast"/>
        <w:jc w:val="center"/>
        <w:rPr>
          <w:rFonts w:ascii="Cambria" w:eastAsia="MS Mincho" w:hAnsi="Cambria" w:cs="Times New Roman"/>
          <w:b/>
          <w:bCs/>
          <w:sz w:val="26"/>
          <w:szCs w:val="26"/>
          <w:lang w:val="es-MX"/>
        </w:rPr>
      </w:pPr>
      <w:r w:rsidRPr="00B53C5C"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>Nota de Prensa</w:t>
      </w:r>
    </w:p>
    <w:p w14:paraId="79CFA064" w14:textId="04F984C9" w:rsidR="00B53C5C" w:rsidRDefault="00B53C5C" w:rsidP="00843FBD">
      <w:pPr>
        <w:spacing w:after="0" w:line="240" w:lineRule="atLeast"/>
        <w:jc w:val="center"/>
        <w:rPr>
          <w:rFonts w:ascii="Cambria" w:eastAsia="MS Mincho" w:hAnsi="Cambria" w:cs="Times New Roman"/>
          <w:b/>
          <w:bCs/>
          <w:sz w:val="26"/>
          <w:szCs w:val="26"/>
          <w:lang w:val="es-MX"/>
        </w:rPr>
      </w:pPr>
      <w:r w:rsidRPr="00B53C5C"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 xml:space="preserve">Colegio de Abogados </w:t>
      </w:r>
      <w:r w:rsidR="002E24C3" w:rsidRPr="002E24C3">
        <w:rPr>
          <w:rFonts w:ascii="Cambria" w:hAnsi="Cambria" w:cs="Calibri"/>
          <w:b/>
          <w:bCs/>
          <w:color w:val="222222"/>
          <w:sz w:val="26"/>
          <w:szCs w:val="26"/>
          <w:shd w:val="clear" w:color="auto" w:fill="FFFFFF"/>
          <w:lang w:val="es-MX"/>
        </w:rPr>
        <w:t>crítica</w:t>
      </w:r>
      <w:r w:rsidR="00843FBD" w:rsidRPr="00B53C5C"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 xml:space="preserve"> </w:t>
      </w:r>
      <w:r w:rsidRPr="00B53C5C"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>proceso de evaluación y resultados del Consejo Nacional de la Magistratura sobre tres jueces de la suprema</w:t>
      </w:r>
    </w:p>
    <w:p w14:paraId="5CC4E2F0" w14:textId="77777777" w:rsidR="00843FBD" w:rsidRDefault="00843FBD" w:rsidP="00843FBD">
      <w:pPr>
        <w:spacing w:after="0" w:line="240" w:lineRule="atLeast"/>
        <w:jc w:val="center"/>
        <w:rPr>
          <w:rFonts w:ascii="Cambria" w:eastAsia="MS Mincho" w:hAnsi="Cambria" w:cs="Times New Roman"/>
          <w:b/>
          <w:bCs/>
          <w:sz w:val="26"/>
          <w:szCs w:val="26"/>
          <w:lang w:val="es-MX"/>
        </w:rPr>
      </w:pPr>
    </w:p>
    <w:p w14:paraId="6A80B642" w14:textId="120486A2" w:rsidR="00EF19CC" w:rsidRDefault="00EF19CC" w:rsidP="00843FBD">
      <w:pPr>
        <w:spacing w:after="0" w:line="240" w:lineRule="atLeast"/>
        <w:jc w:val="center"/>
        <w:rPr>
          <w:rFonts w:ascii="Cambria" w:eastAsia="MS Mincho" w:hAnsi="Cambria" w:cs="Times New Roman"/>
          <w:b/>
          <w:bCs/>
          <w:sz w:val="26"/>
          <w:szCs w:val="26"/>
          <w:lang w:val="es-MX"/>
        </w:rPr>
      </w:pPr>
      <w:r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 xml:space="preserve">CARD suscribe preocupación de </w:t>
      </w:r>
      <w:proofErr w:type="spellStart"/>
      <w:r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>Subero</w:t>
      </w:r>
      <w:proofErr w:type="spellEnd"/>
      <w:r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 xml:space="preserve"> </w:t>
      </w:r>
      <w:proofErr w:type="spellStart"/>
      <w:r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>Issa</w:t>
      </w:r>
      <w:proofErr w:type="spellEnd"/>
      <w:r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 xml:space="preserve">, </w:t>
      </w:r>
      <w:bookmarkStart w:id="0" w:name="_Hlk210640830"/>
      <w:r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 xml:space="preserve">Jorge Prats, </w:t>
      </w:r>
      <w:proofErr w:type="spellStart"/>
      <w:r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>Finjus</w:t>
      </w:r>
      <w:proofErr w:type="spellEnd"/>
      <w:r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 xml:space="preserve">, del senador Rogelio </w:t>
      </w:r>
      <w:proofErr w:type="spellStart"/>
      <w:r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>Genao</w:t>
      </w:r>
      <w:proofErr w:type="spellEnd"/>
      <w:r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 xml:space="preserve"> y del jurista Pancho Álvarez</w:t>
      </w:r>
      <w:bookmarkEnd w:id="0"/>
    </w:p>
    <w:p w14:paraId="0AF17533" w14:textId="77777777" w:rsidR="00843FBD" w:rsidRDefault="00843FBD" w:rsidP="00843FBD">
      <w:pPr>
        <w:spacing w:after="0" w:line="240" w:lineRule="atLeast"/>
        <w:jc w:val="center"/>
        <w:rPr>
          <w:rFonts w:ascii="Cambria" w:eastAsia="MS Mincho" w:hAnsi="Cambria" w:cs="Times New Roman"/>
          <w:b/>
          <w:bCs/>
          <w:sz w:val="26"/>
          <w:szCs w:val="26"/>
          <w:lang w:val="es-MX"/>
        </w:rPr>
      </w:pPr>
    </w:p>
    <w:p w14:paraId="4052D733" w14:textId="58E3B275" w:rsidR="00EF19CC" w:rsidRPr="00B53C5C" w:rsidRDefault="00EF19CC" w:rsidP="00843FBD">
      <w:pPr>
        <w:spacing w:after="0" w:line="240" w:lineRule="atLeast"/>
        <w:jc w:val="center"/>
        <w:rPr>
          <w:rFonts w:ascii="Cambria" w:eastAsia="MS Mincho" w:hAnsi="Cambria" w:cs="Times New Roman"/>
          <w:b/>
          <w:bCs/>
          <w:sz w:val="26"/>
          <w:szCs w:val="26"/>
          <w:lang w:val="es-MX"/>
        </w:rPr>
      </w:pPr>
      <w:r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 xml:space="preserve">Deploran uso del voto de calidad del presidente </w:t>
      </w:r>
      <w:proofErr w:type="spellStart"/>
      <w:r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>Abinader</w:t>
      </w:r>
      <w:proofErr w:type="spellEnd"/>
      <w:r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 xml:space="preserve"> para imponer resultados 4 a 4 sin el acostumbrado consenso </w:t>
      </w:r>
    </w:p>
    <w:p w14:paraId="70170E2C" w14:textId="77777777" w:rsidR="00AC33F4" w:rsidRDefault="00AC33F4" w:rsidP="00843FBD">
      <w:pPr>
        <w:spacing w:after="0" w:line="240" w:lineRule="atLeast"/>
        <w:jc w:val="both"/>
        <w:rPr>
          <w:rFonts w:ascii="Cambria" w:hAnsi="Cambria"/>
          <w:b/>
          <w:bCs/>
          <w:sz w:val="28"/>
          <w:szCs w:val="28"/>
          <w:lang w:val="es-MX"/>
        </w:rPr>
      </w:pPr>
    </w:p>
    <w:p w14:paraId="2D492659" w14:textId="49BE1F60" w:rsidR="00B53C5C" w:rsidRDefault="00B53C5C" w:rsidP="00843FBD">
      <w:pPr>
        <w:spacing w:after="0" w:line="240" w:lineRule="atLeast"/>
        <w:jc w:val="both"/>
        <w:rPr>
          <w:rFonts w:ascii="Cambria" w:eastAsia="MS Mincho" w:hAnsi="Cambria" w:cs="Times New Roman"/>
          <w:sz w:val="26"/>
          <w:szCs w:val="26"/>
          <w:lang w:val="es-MX"/>
        </w:rPr>
      </w:pPr>
      <w:r w:rsidRPr="001B60EA">
        <w:rPr>
          <w:rFonts w:ascii="Cambria" w:hAnsi="Cambria"/>
          <w:b/>
          <w:bCs/>
          <w:sz w:val="28"/>
          <w:szCs w:val="28"/>
          <w:lang w:val="es-MX"/>
        </w:rPr>
        <w:t>Santo Domingo, República Dominicana</w:t>
      </w:r>
      <w:r w:rsidRPr="001B60EA">
        <w:rPr>
          <w:rFonts w:ascii="Cambria" w:hAnsi="Cambria"/>
          <w:sz w:val="28"/>
          <w:szCs w:val="28"/>
          <w:lang w:val="es-MX"/>
        </w:rPr>
        <w:t xml:space="preserve"> </w:t>
      </w:r>
      <w:r>
        <w:rPr>
          <w:rFonts w:ascii="Cambria" w:hAnsi="Cambria"/>
          <w:b/>
          <w:bCs/>
          <w:sz w:val="28"/>
          <w:szCs w:val="28"/>
          <w:lang w:val="es-MX"/>
        </w:rPr>
        <w:t>06</w:t>
      </w:r>
      <w:r w:rsidRPr="001B60EA">
        <w:rPr>
          <w:rFonts w:ascii="Cambria" w:hAnsi="Cambria"/>
          <w:b/>
          <w:bCs/>
          <w:sz w:val="28"/>
          <w:szCs w:val="28"/>
          <w:lang w:val="es-MX"/>
        </w:rPr>
        <w:t xml:space="preserve"> de </w:t>
      </w:r>
      <w:r>
        <w:rPr>
          <w:rFonts w:ascii="Cambria" w:hAnsi="Cambria"/>
          <w:b/>
          <w:bCs/>
          <w:sz w:val="28"/>
          <w:szCs w:val="28"/>
          <w:lang w:val="es-MX"/>
        </w:rPr>
        <w:t>octubre</w:t>
      </w:r>
      <w:r w:rsidRPr="001B60EA">
        <w:rPr>
          <w:rFonts w:ascii="Cambria" w:hAnsi="Cambria"/>
          <w:b/>
          <w:bCs/>
          <w:sz w:val="28"/>
          <w:szCs w:val="28"/>
          <w:lang w:val="es-MX"/>
        </w:rPr>
        <w:t xml:space="preserve"> de 2025</w:t>
      </w:r>
      <w:r w:rsidRPr="001B60EA">
        <w:rPr>
          <w:rFonts w:ascii="Cambria" w:hAnsi="Cambria"/>
          <w:sz w:val="28"/>
          <w:szCs w:val="28"/>
          <w:lang w:val="es-MX"/>
        </w:rPr>
        <w:t xml:space="preserve">. </w:t>
      </w:r>
      <w:r w:rsidRPr="00B53C5C">
        <w:rPr>
          <w:rFonts w:ascii="Cambria" w:eastAsia="MS Mincho" w:hAnsi="Cambria" w:cs="Times New Roman"/>
          <w:sz w:val="26"/>
          <w:szCs w:val="26"/>
          <w:lang w:val="es-MX"/>
        </w:rPr>
        <w:t xml:space="preserve">El Colegio de Abogados de la República Dominicana (CARD), presidido por Trajano Potentini, expresó su profunda preocupación y desacuerdo con </w:t>
      </w:r>
      <w:r w:rsidR="00504651">
        <w:rPr>
          <w:rFonts w:ascii="Cambria" w:eastAsia="MS Mincho" w:hAnsi="Cambria" w:cs="Times New Roman"/>
          <w:sz w:val="26"/>
          <w:szCs w:val="26"/>
          <w:lang w:val="es-MX"/>
        </w:rPr>
        <w:t xml:space="preserve">el proceso de evaluación realizado recientemente </w:t>
      </w:r>
      <w:r w:rsidRPr="00B53C5C">
        <w:rPr>
          <w:rFonts w:ascii="Cambria" w:eastAsia="MS Mincho" w:hAnsi="Cambria" w:cs="Times New Roman"/>
          <w:sz w:val="26"/>
          <w:szCs w:val="26"/>
          <w:lang w:val="es-MX"/>
        </w:rPr>
        <w:t>por el Consejo Nacional de la Magistratura (CNM)</w:t>
      </w:r>
      <w:r w:rsidR="00843FBD">
        <w:rPr>
          <w:rFonts w:ascii="Cambria" w:eastAsia="MS Mincho" w:hAnsi="Cambria" w:cs="Times New Roman"/>
          <w:sz w:val="26"/>
          <w:szCs w:val="26"/>
          <w:lang w:val="es-MX"/>
        </w:rPr>
        <w:t>,</w:t>
      </w:r>
      <w:r w:rsidRPr="00B53C5C">
        <w:rPr>
          <w:rFonts w:ascii="Cambria" w:eastAsia="MS Mincho" w:hAnsi="Cambria" w:cs="Times New Roman"/>
          <w:sz w:val="26"/>
          <w:szCs w:val="26"/>
          <w:lang w:val="es-MX"/>
        </w:rPr>
        <w:t xml:space="preserve"> </w:t>
      </w:r>
      <w:r w:rsidR="00504651">
        <w:rPr>
          <w:rFonts w:ascii="Cambria" w:eastAsia="MS Mincho" w:hAnsi="Cambria" w:cs="Times New Roman"/>
          <w:sz w:val="26"/>
          <w:szCs w:val="26"/>
          <w:lang w:val="es-MX"/>
        </w:rPr>
        <w:t>sobre el</w:t>
      </w:r>
      <w:r w:rsidRPr="00B53C5C">
        <w:rPr>
          <w:rFonts w:ascii="Cambria" w:eastAsia="MS Mincho" w:hAnsi="Cambria" w:cs="Times New Roman"/>
          <w:sz w:val="26"/>
          <w:szCs w:val="26"/>
          <w:lang w:val="es-MX"/>
        </w:rPr>
        <w:t xml:space="preserve"> desempeño de tres jueces pertenecientes a la Suprema Corte de Justicia.</w:t>
      </w:r>
    </w:p>
    <w:p w14:paraId="1EC17C39" w14:textId="77777777" w:rsidR="00B53C5C" w:rsidRPr="00B53C5C" w:rsidRDefault="00B53C5C" w:rsidP="00843FBD">
      <w:pPr>
        <w:spacing w:after="0" w:line="240" w:lineRule="atLeast"/>
        <w:jc w:val="both"/>
        <w:rPr>
          <w:rFonts w:ascii="Cambria" w:eastAsia="MS Mincho" w:hAnsi="Cambria" w:cs="Times New Roman"/>
          <w:sz w:val="26"/>
          <w:szCs w:val="26"/>
          <w:lang w:val="es-MX"/>
        </w:rPr>
      </w:pPr>
    </w:p>
    <w:p w14:paraId="6A50EE49" w14:textId="1C21B6B7" w:rsidR="00B53C5C" w:rsidRDefault="00B53C5C" w:rsidP="00843FBD">
      <w:pPr>
        <w:spacing w:after="0" w:line="240" w:lineRule="atLeast"/>
        <w:jc w:val="both"/>
        <w:rPr>
          <w:rFonts w:ascii="Cambria" w:eastAsia="MS Mincho" w:hAnsi="Cambria" w:cs="Times New Roman"/>
          <w:sz w:val="26"/>
          <w:szCs w:val="26"/>
          <w:lang w:val="es-MX"/>
        </w:rPr>
      </w:pPr>
      <w:r w:rsidRPr="00B53C5C">
        <w:rPr>
          <w:rFonts w:ascii="Cambria" w:eastAsia="MS Mincho" w:hAnsi="Cambria" w:cs="Times New Roman"/>
          <w:sz w:val="26"/>
          <w:szCs w:val="26"/>
          <w:lang w:val="es-MX"/>
        </w:rPr>
        <w:t xml:space="preserve">El CARD señaló que los jueces Pilar Jiménez Ortiz, Manuel Alexis </w:t>
      </w:r>
      <w:proofErr w:type="spellStart"/>
      <w:r w:rsidRPr="00B53C5C">
        <w:rPr>
          <w:rFonts w:ascii="Cambria" w:eastAsia="MS Mincho" w:hAnsi="Cambria" w:cs="Times New Roman"/>
          <w:sz w:val="26"/>
          <w:szCs w:val="26"/>
          <w:lang w:val="es-MX"/>
        </w:rPr>
        <w:t>Read</w:t>
      </w:r>
      <w:proofErr w:type="spellEnd"/>
      <w:r w:rsidRPr="00B53C5C">
        <w:rPr>
          <w:rFonts w:ascii="Cambria" w:eastAsia="MS Mincho" w:hAnsi="Cambria" w:cs="Times New Roman"/>
          <w:sz w:val="26"/>
          <w:szCs w:val="26"/>
          <w:lang w:val="es-MX"/>
        </w:rPr>
        <w:t xml:space="preserve"> Ortiz y Moisés Ferrer Landrón, quienes culminaron su período constitucional de siete años, fueron evaluados por el CNM y no confirmados para continuar en sus funciones, </w:t>
      </w:r>
      <w:r w:rsidR="00504651">
        <w:rPr>
          <w:rFonts w:ascii="Cambria" w:eastAsia="MS Mincho" w:hAnsi="Cambria" w:cs="Times New Roman"/>
          <w:sz w:val="26"/>
          <w:szCs w:val="26"/>
          <w:lang w:val="es-MX"/>
        </w:rPr>
        <w:t xml:space="preserve">presentando </w:t>
      </w:r>
      <w:r w:rsidR="0017106B">
        <w:rPr>
          <w:rFonts w:ascii="Cambria" w:eastAsia="MS Mincho" w:hAnsi="Cambria" w:cs="Times New Roman"/>
          <w:sz w:val="26"/>
          <w:szCs w:val="26"/>
          <w:lang w:val="es-MX"/>
        </w:rPr>
        <w:t xml:space="preserve">y televisado </w:t>
      </w:r>
      <w:r w:rsidR="00504651">
        <w:rPr>
          <w:rFonts w:ascii="Cambria" w:eastAsia="MS Mincho" w:hAnsi="Cambria" w:cs="Times New Roman"/>
          <w:sz w:val="26"/>
          <w:szCs w:val="26"/>
          <w:lang w:val="es-MX"/>
        </w:rPr>
        <w:t>ante el país un excelente manejo, lo</w:t>
      </w:r>
      <w:r w:rsidRPr="00B53C5C">
        <w:rPr>
          <w:rFonts w:ascii="Cambria" w:eastAsia="MS Mincho" w:hAnsi="Cambria" w:cs="Times New Roman"/>
          <w:sz w:val="26"/>
          <w:szCs w:val="26"/>
          <w:lang w:val="es-MX"/>
        </w:rPr>
        <w:t xml:space="preserve"> que ha generado un clima de incertidumbre y desconfianza en amplios sectores del sistema judicial.</w:t>
      </w:r>
    </w:p>
    <w:p w14:paraId="1E59B750" w14:textId="77777777" w:rsidR="00843FBD" w:rsidRPr="00B53C5C" w:rsidRDefault="00843FBD" w:rsidP="00843FBD">
      <w:pPr>
        <w:spacing w:after="0" w:line="240" w:lineRule="atLeast"/>
        <w:jc w:val="both"/>
        <w:rPr>
          <w:rFonts w:ascii="Cambria" w:eastAsia="MS Mincho" w:hAnsi="Cambria" w:cs="Times New Roman"/>
          <w:sz w:val="26"/>
          <w:szCs w:val="26"/>
          <w:lang w:val="es-MX"/>
        </w:rPr>
      </w:pPr>
    </w:p>
    <w:p w14:paraId="3DD24B13" w14:textId="22965055" w:rsidR="00B53C5C" w:rsidRDefault="00B53C5C" w:rsidP="00843FBD">
      <w:pPr>
        <w:spacing w:after="0" w:line="240" w:lineRule="atLeast"/>
        <w:jc w:val="both"/>
        <w:rPr>
          <w:rFonts w:ascii="Cambria" w:eastAsia="MS Mincho" w:hAnsi="Cambria" w:cs="Times New Roman"/>
          <w:sz w:val="26"/>
          <w:szCs w:val="26"/>
          <w:lang w:val="es-MX"/>
        </w:rPr>
      </w:pPr>
      <w:r w:rsidRPr="00B53C5C">
        <w:rPr>
          <w:rFonts w:ascii="Cambria" w:eastAsia="MS Mincho" w:hAnsi="Cambria" w:cs="Times New Roman"/>
          <w:sz w:val="26"/>
          <w:szCs w:val="26"/>
          <w:lang w:val="es-MX"/>
        </w:rPr>
        <w:t xml:space="preserve">El presidente del CARD, Trajano Potentini, </w:t>
      </w:r>
      <w:r w:rsidR="00504651">
        <w:rPr>
          <w:rFonts w:ascii="Cambria" w:eastAsia="MS Mincho" w:hAnsi="Cambria" w:cs="Times New Roman"/>
          <w:sz w:val="26"/>
          <w:szCs w:val="26"/>
          <w:lang w:val="es-MX"/>
        </w:rPr>
        <w:t xml:space="preserve">suscribió la preocupación de </w:t>
      </w:r>
      <w:r w:rsidR="00843FBD">
        <w:rPr>
          <w:rFonts w:ascii="Cambria" w:eastAsia="MS Mincho" w:hAnsi="Cambria" w:cs="Times New Roman"/>
          <w:sz w:val="26"/>
          <w:szCs w:val="26"/>
          <w:lang w:val="es-MX"/>
        </w:rPr>
        <w:t xml:space="preserve">personalidades e instituciones </w:t>
      </w:r>
      <w:r w:rsidR="00504651">
        <w:rPr>
          <w:rFonts w:ascii="Cambria" w:eastAsia="MS Mincho" w:hAnsi="Cambria" w:cs="Times New Roman"/>
          <w:sz w:val="26"/>
          <w:szCs w:val="26"/>
          <w:lang w:val="es-MX"/>
        </w:rPr>
        <w:t xml:space="preserve">del mundo </w:t>
      </w:r>
      <w:r w:rsidR="0017106B">
        <w:rPr>
          <w:rFonts w:ascii="Cambria" w:eastAsia="MS Mincho" w:hAnsi="Cambria" w:cs="Times New Roman"/>
          <w:sz w:val="26"/>
          <w:szCs w:val="26"/>
          <w:lang w:val="es-MX"/>
        </w:rPr>
        <w:t xml:space="preserve">jurídico dominicano, entre ellos el magistrado Jorge </w:t>
      </w:r>
      <w:proofErr w:type="spellStart"/>
      <w:r w:rsidR="0017106B">
        <w:rPr>
          <w:rFonts w:ascii="Cambria" w:eastAsia="MS Mincho" w:hAnsi="Cambria" w:cs="Times New Roman"/>
          <w:sz w:val="26"/>
          <w:szCs w:val="26"/>
          <w:lang w:val="es-MX"/>
        </w:rPr>
        <w:t>Subero</w:t>
      </w:r>
      <w:proofErr w:type="spellEnd"/>
      <w:r w:rsidR="0017106B">
        <w:rPr>
          <w:rFonts w:ascii="Cambria" w:eastAsia="MS Mincho" w:hAnsi="Cambria" w:cs="Times New Roman"/>
          <w:sz w:val="26"/>
          <w:szCs w:val="26"/>
          <w:lang w:val="es-MX"/>
        </w:rPr>
        <w:t xml:space="preserve"> </w:t>
      </w:r>
      <w:proofErr w:type="spellStart"/>
      <w:r w:rsidR="0017106B">
        <w:rPr>
          <w:rFonts w:ascii="Cambria" w:eastAsia="MS Mincho" w:hAnsi="Cambria" w:cs="Times New Roman"/>
          <w:sz w:val="26"/>
          <w:szCs w:val="26"/>
          <w:lang w:val="es-MX"/>
        </w:rPr>
        <w:t>Issa</w:t>
      </w:r>
      <w:proofErr w:type="spellEnd"/>
      <w:r w:rsidR="0017106B">
        <w:rPr>
          <w:rFonts w:ascii="Cambria" w:eastAsia="MS Mincho" w:hAnsi="Cambria" w:cs="Times New Roman"/>
          <w:sz w:val="26"/>
          <w:szCs w:val="26"/>
          <w:lang w:val="es-MX"/>
        </w:rPr>
        <w:t xml:space="preserve">, </w:t>
      </w:r>
      <w:r w:rsidR="0017106B" w:rsidRPr="0017106B">
        <w:rPr>
          <w:rFonts w:ascii="Cambria" w:eastAsia="MS Mincho" w:hAnsi="Cambria" w:cs="Times New Roman"/>
          <w:sz w:val="26"/>
          <w:szCs w:val="26"/>
          <w:lang w:val="es-MX"/>
        </w:rPr>
        <w:t xml:space="preserve">Eduardo </w:t>
      </w:r>
      <w:r w:rsidR="0017106B" w:rsidRPr="0017106B">
        <w:rPr>
          <w:rFonts w:ascii="Cambria" w:eastAsia="MS Mincho" w:hAnsi="Cambria" w:cs="Times New Roman"/>
          <w:sz w:val="26"/>
          <w:szCs w:val="26"/>
          <w:lang w:val="es-MX"/>
        </w:rPr>
        <w:t xml:space="preserve">Jorge Prats, </w:t>
      </w:r>
      <w:r w:rsidR="0017106B" w:rsidRPr="0017106B">
        <w:rPr>
          <w:rFonts w:ascii="Cambria" w:eastAsia="MS Mincho" w:hAnsi="Cambria" w:cs="Times New Roman"/>
          <w:sz w:val="26"/>
          <w:szCs w:val="26"/>
          <w:lang w:val="es-MX"/>
        </w:rPr>
        <w:t xml:space="preserve">la </w:t>
      </w:r>
      <w:proofErr w:type="spellStart"/>
      <w:r w:rsidR="0017106B" w:rsidRPr="0017106B">
        <w:rPr>
          <w:rFonts w:ascii="Cambria" w:eastAsia="MS Mincho" w:hAnsi="Cambria" w:cs="Times New Roman"/>
          <w:sz w:val="26"/>
          <w:szCs w:val="26"/>
          <w:lang w:val="es-MX"/>
        </w:rPr>
        <w:t>Finjus</w:t>
      </w:r>
      <w:proofErr w:type="spellEnd"/>
      <w:r w:rsidR="0017106B" w:rsidRPr="0017106B">
        <w:rPr>
          <w:rFonts w:ascii="Cambria" w:eastAsia="MS Mincho" w:hAnsi="Cambria" w:cs="Times New Roman"/>
          <w:sz w:val="26"/>
          <w:szCs w:val="26"/>
          <w:lang w:val="es-MX"/>
        </w:rPr>
        <w:t xml:space="preserve">, del senador Rogelio </w:t>
      </w:r>
      <w:proofErr w:type="spellStart"/>
      <w:r w:rsidR="0017106B" w:rsidRPr="0017106B">
        <w:rPr>
          <w:rFonts w:ascii="Cambria" w:eastAsia="MS Mincho" w:hAnsi="Cambria" w:cs="Times New Roman"/>
          <w:sz w:val="26"/>
          <w:szCs w:val="26"/>
          <w:lang w:val="es-MX"/>
        </w:rPr>
        <w:t>Genao</w:t>
      </w:r>
      <w:proofErr w:type="spellEnd"/>
      <w:r w:rsidR="0017106B" w:rsidRPr="0017106B">
        <w:rPr>
          <w:rFonts w:ascii="Cambria" w:eastAsia="MS Mincho" w:hAnsi="Cambria" w:cs="Times New Roman"/>
          <w:sz w:val="26"/>
          <w:szCs w:val="26"/>
          <w:lang w:val="es-MX"/>
        </w:rPr>
        <w:t xml:space="preserve"> y del jurista Pancho Álvarez</w:t>
      </w:r>
      <w:r w:rsidR="0017106B">
        <w:rPr>
          <w:rFonts w:ascii="Cambria" w:eastAsia="MS Mincho" w:hAnsi="Cambria" w:cs="Times New Roman"/>
          <w:b/>
          <w:bCs/>
          <w:sz w:val="26"/>
          <w:szCs w:val="26"/>
          <w:lang w:val="es-MX"/>
        </w:rPr>
        <w:t xml:space="preserve">, </w:t>
      </w:r>
      <w:r w:rsidRPr="00B53C5C">
        <w:rPr>
          <w:rFonts w:ascii="Cambria" w:eastAsia="MS Mincho" w:hAnsi="Cambria" w:cs="Times New Roman"/>
          <w:sz w:val="26"/>
          <w:szCs w:val="26"/>
          <w:lang w:val="es-MX"/>
        </w:rPr>
        <w:t>calific</w:t>
      </w:r>
      <w:r w:rsidR="0017106B">
        <w:rPr>
          <w:rFonts w:ascii="Cambria" w:eastAsia="MS Mincho" w:hAnsi="Cambria" w:cs="Times New Roman"/>
          <w:sz w:val="26"/>
          <w:szCs w:val="26"/>
          <w:lang w:val="es-MX"/>
        </w:rPr>
        <w:t xml:space="preserve">ando además por parte del gremio </w:t>
      </w:r>
      <w:r w:rsidRPr="00B53C5C">
        <w:rPr>
          <w:rFonts w:ascii="Cambria" w:eastAsia="MS Mincho" w:hAnsi="Cambria" w:cs="Times New Roman"/>
          <w:sz w:val="26"/>
          <w:szCs w:val="26"/>
          <w:lang w:val="es-MX"/>
        </w:rPr>
        <w:t>el proceso de evaluación como opaco</w:t>
      </w:r>
      <w:r w:rsidR="00150303">
        <w:rPr>
          <w:rFonts w:ascii="Cambria" w:eastAsia="MS Mincho" w:hAnsi="Cambria" w:cs="Times New Roman"/>
          <w:sz w:val="26"/>
          <w:szCs w:val="26"/>
          <w:lang w:val="es-MX"/>
        </w:rPr>
        <w:t xml:space="preserve"> y</w:t>
      </w:r>
      <w:r w:rsidRPr="00B53C5C">
        <w:rPr>
          <w:rFonts w:ascii="Cambria" w:eastAsia="MS Mincho" w:hAnsi="Cambria" w:cs="Times New Roman"/>
          <w:sz w:val="26"/>
          <w:szCs w:val="26"/>
          <w:lang w:val="es-MX"/>
        </w:rPr>
        <w:t xml:space="preserve"> carente de objetividad, asegurando que los criterios aplicados no reflejan los principios de independencia judicial ni las garantías de debido proceso que deben regir la carrera judicial.</w:t>
      </w:r>
    </w:p>
    <w:p w14:paraId="3674A26D" w14:textId="77777777" w:rsidR="00843FBD" w:rsidRPr="00B53C5C" w:rsidRDefault="00843FBD" w:rsidP="00843FBD">
      <w:pPr>
        <w:spacing w:after="0" w:line="240" w:lineRule="atLeast"/>
        <w:jc w:val="both"/>
        <w:rPr>
          <w:rFonts w:ascii="Cambria" w:eastAsia="MS Mincho" w:hAnsi="Cambria" w:cs="Times New Roman"/>
          <w:sz w:val="26"/>
          <w:szCs w:val="26"/>
          <w:lang w:val="es-MX"/>
        </w:rPr>
      </w:pPr>
    </w:p>
    <w:p w14:paraId="0366277A" w14:textId="7981A9BC" w:rsidR="00B53C5C" w:rsidRDefault="00B53C5C" w:rsidP="00843FBD">
      <w:pPr>
        <w:spacing w:after="0" w:line="240" w:lineRule="atLeast"/>
        <w:jc w:val="both"/>
        <w:rPr>
          <w:rFonts w:ascii="Cambria" w:eastAsia="MS Mincho" w:hAnsi="Cambria" w:cs="Times New Roman"/>
          <w:sz w:val="26"/>
          <w:szCs w:val="26"/>
          <w:lang w:val="es-MX"/>
        </w:rPr>
      </w:pPr>
      <w:r w:rsidRPr="00B53C5C">
        <w:rPr>
          <w:rFonts w:ascii="Cambria" w:eastAsia="MS Mincho" w:hAnsi="Cambria" w:cs="Times New Roman"/>
          <w:sz w:val="26"/>
          <w:szCs w:val="26"/>
          <w:lang w:val="es-MX"/>
        </w:rPr>
        <w:t xml:space="preserve">El Colegio de Abogados advirtió que las decisiones adoptadas respecto a estos tres jueces podrían interpretarse como un precedente </w:t>
      </w:r>
      <w:r w:rsidR="00843FBD">
        <w:rPr>
          <w:rFonts w:ascii="Cambria" w:eastAsia="MS Mincho" w:hAnsi="Cambria" w:cs="Times New Roman"/>
          <w:sz w:val="26"/>
          <w:szCs w:val="26"/>
          <w:lang w:val="es-MX"/>
        </w:rPr>
        <w:t>preocupante</w:t>
      </w:r>
      <w:r w:rsidRPr="00B53C5C">
        <w:rPr>
          <w:rFonts w:ascii="Cambria" w:eastAsia="MS Mincho" w:hAnsi="Cambria" w:cs="Times New Roman"/>
          <w:sz w:val="26"/>
          <w:szCs w:val="26"/>
          <w:lang w:val="es-MX"/>
        </w:rPr>
        <w:t xml:space="preserve"> que compromete la estabilidad del sistema judicial y la independencia de los magistrados frente a los poderes políticos.</w:t>
      </w:r>
      <w:r w:rsidR="0017106B">
        <w:rPr>
          <w:rFonts w:ascii="Cambria" w:eastAsia="MS Mincho" w:hAnsi="Cambria" w:cs="Times New Roman"/>
          <w:sz w:val="26"/>
          <w:szCs w:val="26"/>
          <w:lang w:val="es-MX"/>
        </w:rPr>
        <w:t xml:space="preserve"> Deplorando también el uso del denominado voto de calidad</w:t>
      </w:r>
      <w:r w:rsidR="00843FBD">
        <w:rPr>
          <w:rFonts w:ascii="Cambria" w:eastAsia="MS Mincho" w:hAnsi="Cambria" w:cs="Times New Roman"/>
          <w:sz w:val="26"/>
          <w:szCs w:val="26"/>
          <w:lang w:val="es-MX"/>
        </w:rPr>
        <w:t>,</w:t>
      </w:r>
      <w:r w:rsidR="0017106B">
        <w:rPr>
          <w:rFonts w:ascii="Cambria" w:eastAsia="MS Mincho" w:hAnsi="Cambria" w:cs="Times New Roman"/>
          <w:sz w:val="26"/>
          <w:szCs w:val="26"/>
          <w:lang w:val="es-MX"/>
        </w:rPr>
        <w:t xml:space="preserve"> </w:t>
      </w:r>
      <w:r w:rsidR="00D21774">
        <w:rPr>
          <w:rFonts w:ascii="Cambria" w:eastAsia="MS Mincho" w:hAnsi="Cambria" w:cs="Times New Roman"/>
          <w:sz w:val="26"/>
          <w:szCs w:val="26"/>
          <w:lang w:val="es-MX"/>
        </w:rPr>
        <w:t>que,</w:t>
      </w:r>
      <w:r w:rsidR="0017106B">
        <w:rPr>
          <w:rFonts w:ascii="Cambria" w:eastAsia="MS Mincho" w:hAnsi="Cambria" w:cs="Times New Roman"/>
          <w:sz w:val="26"/>
          <w:szCs w:val="26"/>
          <w:lang w:val="es-MX"/>
        </w:rPr>
        <w:t xml:space="preserve"> ante </w:t>
      </w:r>
      <w:r w:rsidR="00843FBD">
        <w:rPr>
          <w:rFonts w:ascii="Cambria" w:eastAsia="MS Mincho" w:hAnsi="Cambria" w:cs="Times New Roman"/>
          <w:sz w:val="26"/>
          <w:szCs w:val="26"/>
          <w:lang w:val="es-MX"/>
        </w:rPr>
        <w:t xml:space="preserve">la eventualidad de </w:t>
      </w:r>
      <w:r w:rsidR="0017106B">
        <w:rPr>
          <w:rFonts w:ascii="Cambria" w:eastAsia="MS Mincho" w:hAnsi="Cambria" w:cs="Times New Roman"/>
          <w:sz w:val="26"/>
          <w:szCs w:val="26"/>
          <w:lang w:val="es-MX"/>
        </w:rPr>
        <w:t xml:space="preserve">un empate en las </w:t>
      </w:r>
      <w:r w:rsidR="0017106B">
        <w:rPr>
          <w:rFonts w:ascii="Cambria" w:eastAsia="MS Mincho" w:hAnsi="Cambria" w:cs="Times New Roman"/>
          <w:sz w:val="26"/>
          <w:szCs w:val="26"/>
          <w:lang w:val="es-MX"/>
        </w:rPr>
        <w:lastRenderedPageBreak/>
        <w:t xml:space="preserve">votaciones del </w:t>
      </w:r>
      <w:r w:rsidR="00843FBD">
        <w:rPr>
          <w:rFonts w:ascii="Cambria" w:eastAsia="MS Mincho" w:hAnsi="Cambria" w:cs="Times New Roman"/>
          <w:sz w:val="26"/>
          <w:szCs w:val="26"/>
          <w:lang w:val="es-MX"/>
        </w:rPr>
        <w:t xml:space="preserve">Consejo Nacional </w:t>
      </w:r>
      <w:r w:rsidR="0017106B">
        <w:rPr>
          <w:rFonts w:ascii="Cambria" w:eastAsia="MS Mincho" w:hAnsi="Cambria" w:cs="Times New Roman"/>
          <w:sz w:val="26"/>
          <w:szCs w:val="26"/>
          <w:lang w:val="es-MX"/>
        </w:rPr>
        <w:t xml:space="preserve">de la </w:t>
      </w:r>
      <w:r w:rsidR="00843FBD">
        <w:rPr>
          <w:rFonts w:ascii="Cambria" w:eastAsia="MS Mincho" w:hAnsi="Cambria" w:cs="Times New Roman"/>
          <w:sz w:val="26"/>
          <w:szCs w:val="26"/>
          <w:lang w:val="es-MX"/>
        </w:rPr>
        <w:t>Magis</w:t>
      </w:r>
      <w:r w:rsidR="0017106B">
        <w:rPr>
          <w:rFonts w:ascii="Cambria" w:eastAsia="MS Mincho" w:hAnsi="Cambria" w:cs="Times New Roman"/>
          <w:sz w:val="26"/>
          <w:szCs w:val="26"/>
          <w:lang w:val="es-MX"/>
        </w:rPr>
        <w:t>tratura</w:t>
      </w:r>
      <w:r w:rsidR="00843FBD">
        <w:rPr>
          <w:rFonts w:ascii="Cambria" w:eastAsia="MS Mincho" w:hAnsi="Cambria" w:cs="Times New Roman"/>
          <w:sz w:val="26"/>
          <w:szCs w:val="26"/>
          <w:lang w:val="es-MX"/>
        </w:rPr>
        <w:t>, de 4 voto a 4,</w:t>
      </w:r>
      <w:r w:rsidR="0017106B">
        <w:rPr>
          <w:rFonts w:ascii="Cambria" w:eastAsia="MS Mincho" w:hAnsi="Cambria" w:cs="Times New Roman"/>
          <w:sz w:val="26"/>
          <w:szCs w:val="26"/>
          <w:lang w:val="es-MX"/>
        </w:rPr>
        <w:t xml:space="preserve"> le asigna un valor doble al voto del presidente de la república, un antecedente poco visto en estos procesos del consejo, donde primaba el consenso, una </w:t>
      </w:r>
      <w:r w:rsidR="00843FBD">
        <w:rPr>
          <w:rFonts w:ascii="Cambria" w:eastAsia="MS Mincho" w:hAnsi="Cambria" w:cs="Times New Roman"/>
          <w:sz w:val="26"/>
          <w:szCs w:val="26"/>
          <w:lang w:val="es-MX"/>
        </w:rPr>
        <w:t>imposición,</w:t>
      </w:r>
      <w:r w:rsidR="0017106B">
        <w:rPr>
          <w:rFonts w:ascii="Cambria" w:eastAsia="MS Mincho" w:hAnsi="Cambria" w:cs="Times New Roman"/>
          <w:sz w:val="26"/>
          <w:szCs w:val="26"/>
          <w:lang w:val="es-MX"/>
        </w:rPr>
        <w:t xml:space="preserve"> aunque legal</w:t>
      </w:r>
      <w:r w:rsidR="00843FBD">
        <w:rPr>
          <w:rFonts w:ascii="Cambria" w:eastAsia="MS Mincho" w:hAnsi="Cambria" w:cs="Times New Roman"/>
          <w:sz w:val="26"/>
          <w:szCs w:val="26"/>
          <w:lang w:val="es-MX"/>
        </w:rPr>
        <w:t>,</w:t>
      </w:r>
      <w:r w:rsidR="0017106B">
        <w:rPr>
          <w:rFonts w:ascii="Cambria" w:eastAsia="MS Mincho" w:hAnsi="Cambria" w:cs="Times New Roman"/>
          <w:sz w:val="26"/>
          <w:szCs w:val="26"/>
          <w:lang w:val="es-MX"/>
        </w:rPr>
        <w:t xml:space="preserve"> pero alejada de la legitimidad esperada en tan singular e importante proceso de </w:t>
      </w:r>
      <w:r w:rsidR="00843FBD">
        <w:rPr>
          <w:rFonts w:ascii="Cambria" w:eastAsia="MS Mincho" w:hAnsi="Cambria" w:cs="Times New Roman"/>
          <w:sz w:val="26"/>
          <w:szCs w:val="26"/>
          <w:lang w:val="es-MX"/>
        </w:rPr>
        <w:t>configuración</w:t>
      </w:r>
      <w:r w:rsidR="0017106B">
        <w:rPr>
          <w:rFonts w:ascii="Cambria" w:eastAsia="MS Mincho" w:hAnsi="Cambria" w:cs="Times New Roman"/>
          <w:sz w:val="26"/>
          <w:szCs w:val="26"/>
          <w:lang w:val="es-MX"/>
        </w:rPr>
        <w:t xml:space="preserve"> de los poderes públicos.</w:t>
      </w:r>
    </w:p>
    <w:p w14:paraId="04DEDF5D" w14:textId="77777777" w:rsidR="00843FBD" w:rsidRPr="00B53C5C" w:rsidRDefault="00843FBD" w:rsidP="00843FBD">
      <w:pPr>
        <w:spacing w:after="0" w:line="240" w:lineRule="atLeast"/>
        <w:jc w:val="both"/>
        <w:rPr>
          <w:rFonts w:ascii="Cambria" w:eastAsia="MS Mincho" w:hAnsi="Cambria" w:cs="Times New Roman"/>
          <w:sz w:val="26"/>
          <w:szCs w:val="26"/>
          <w:lang w:val="es-MX"/>
        </w:rPr>
      </w:pPr>
    </w:p>
    <w:p w14:paraId="01052A66" w14:textId="68800A4A" w:rsidR="00B53C5C" w:rsidRDefault="00B53C5C" w:rsidP="00843FBD">
      <w:pPr>
        <w:spacing w:after="0" w:line="240" w:lineRule="atLeast"/>
        <w:jc w:val="both"/>
        <w:rPr>
          <w:rFonts w:ascii="Cambria" w:eastAsia="MS Mincho" w:hAnsi="Cambria" w:cs="Times New Roman"/>
          <w:sz w:val="26"/>
          <w:szCs w:val="26"/>
          <w:lang w:val="es-MX"/>
        </w:rPr>
      </w:pPr>
      <w:r w:rsidRPr="00B53C5C">
        <w:rPr>
          <w:rFonts w:ascii="Cambria" w:eastAsia="MS Mincho" w:hAnsi="Cambria" w:cs="Times New Roman"/>
          <w:sz w:val="26"/>
          <w:szCs w:val="26"/>
          <w:lang w:val="es-MX"/>
        </w:rPr>
        <w:t xml:space="preserve">Asimismo, la entidad recordó que la Constitución y las leyes procesales dominicanas establecen que las evaluaciones judiciales deben sustentarse en parámetros técnicos, éticos y de desempeño profesional comprobable, y no en valoraciones </w:t>
      </w:r>
      <w:r w:rsidR="00150303">
        <w:rPr>
          <w:rFonts w:ascii="Cambria" w:eastAsia="MS Mincho" w:hAnsi="Cambria" w:cs="Times New Roman"/>
          <w:sz w:val="26"/>
          <w:szCs w:val="26"/>
          <w:lang w:val="es-MX"/>
        </w:rPr>
        <w:t xml:space="preserve">que pudieran resultar muy </w:t>
      </w:r>
      <w:r w:rsidRPr="00B53C5C">
        <w:rPr>
          <w:rFonts w:ascii="Cambria" w:eastAsia="MS Mincho" w:hAnsi="Cambria" w:cs="Times New Roman"/>
          <w:sz w:val="26"/>
          <w:szCs w:val="26"/>
          <w:lang w:val="es-MX"/>
        </w:rPr>
        <w:t>subjetivas.</w:t>
      </w:r>
    </w:p>
    <w:p w14:paraId="2684EACA" w14:textId="77777777" w:rsidR="00843FBD" w:rsidRPr="00B53C5C" w:rsidRDefault="00843FBD" w:rsidP="00843FBD">
      <w:pPr>
        <w:spacing w:after="0" w:line="240" w:lineRule="atLeast"/>
        <w:jc w:val="both"/>
        <w:rPr>
          <w:rFonts w:ascii="Cambria" w:eastAsia="MS Mincho" w:hAnsi="Cambria" w:cs="Times New Roman"/>
          <w:sz w:val="26"/>
          <w:szCs w:val="26"/>
          <w:lang w:val="es-MX"/>
        </w:rPr>
      </w:pPr>
    </w:p>
    <w:p w14:paraId="3E382B93" w14:textId="77777777" w:rsidR="00B53C5C" w:rsidRDefault="00B53C5C" w:rsidP="00843FBD">
      <w:pPr>
        <w:spacing w:after="0" w:line="240" w:lineRule="atLeast"/>
        <w:jc w:val="both"/>
        <w:rPr>
          <w:rFonts w:ascii="Cambria" w:eastAsia="MS Mincho" w:hAnsi="Cambria" w:cs="Times New Roman"/>
          <w:sz w:val="26"/>
          <w:szCs w:val="26"/>
          <w:lang w:val="es-MX"/>
        </w:rPr>
      </w:pPr>
      <w:r w:rsidRPr="00B53C5C">
        <w:rPr>
          <w:rFonts w:ascii="Cambria" w:eastAsia="MS Mincho" w:hAnsi="Cambria" w:cs="Times New Roman"/>
          <w:sz w:val="26"/>
          <w:szCs w:val="26"/>
          <w:lang w:val="es-MX"/>
        </w:rPr>
        <w:t>El CARD anunció que solicitará formalmente al Consejo Nacional de la Magistratura la publicación íntegra de los informes de evaluación, los indicadores utilizados y las actas de deliberación correspondientes, en aras de la transparencia y la rendición de cuentas institucional.</w:t>
      </w:r>
    </w:p>
    <w:p w14:paraId="535AF1B1" w14:textId="77777777" w:rsidR="00843FBD" w:rsidRPr="00B53C5C" w:rsidRDefault="00843FBD" w:rsidP="00843FBD">
      <w:pPr>
        <w:spacing w:after="0" w:line="240" w:lineRule="atLeast"/>
        <w:jc w:val="both"/>
        <w:rPr>
          <w:rFonts w:ascii="Cambria" w:eastAsia="MS Mincho" w:hAnsi="Cambria" w:cs="Times New Roman"/>
          <w:sz w:val="26"/>
          <w:szCs w:val="26"/>
          <w:lang w:val="es-MX"/>
        </w:rPr>
      </w:pPr>
    </w:p>
    <w:p w14:paraId="0BEC79CD" w14:textId="775CB4AD" w:rsidR="00B53C5C" w:rsidRPr="00B53C5C" w:rsidRDefault="00B53C5C" w:rsidP="00843FBD">
      <w:pPr>
        <w:spacing w:after="0" w:line="240" w:lineRule="atLeast"/>
        <w:jc w:val="both"/>
        <w:rPr>
          <w:rFonts w:ascii="Cambria" w:eastAsia="MS Mincho" w:hAnsi="Cambria" w:cs="Times New Roman"/>
          <w:sz w:val="26"/>
          <w:szCs w:val="26"/>
          <w:lang w:val="es-MX"/>
        </w:rPr>
      </w:pPr>
      <w:r w:rsidRPr="00B53C5C">
        <w:rPr>
          <w:rFonts w:ascii="Cambria" w:eastAsia="MS Mincho" w:hAnsi="Cambria" w:cs="Times New Roman"/>
          <w:sz w:val="26"/>
          <w:szCs w:val="26"/>
          <w:lang w:val="es-MX"/>
        </w:rPr>
        <w:t>“Como representantes del foro jurídico nacional, reafirmamos nuestro compromiso con la defensa del Estado de derecho, la institucionalidad democrática y la independencia del Poder Judicial. No podemos permanecer indiferentes ante procesos que ponen en riesgo la confianza ciudadana en la justicia dominicana”, concluyó el presidente del CARD, Trajano Potentini.</w:t>
      </w:r>
    </w:p>
    <w:p w14:paraId="64E5C94B" w14:textId="77D2DF3C" w:rsidR="0041396A" w:rsidRPr="001B60EA" w:rsidRDefault="0041396A" w:rsidP="00843FBD">
      <w:pPr>
        <w:spacing w:after="0" w:line="240" w:lineRule="atLeast"/>
        <w:jc w:val="both"/>
        <w:rPr>
          <w:rFonts w:ascii="Cambria" w:hAnsi="Cambria"/>
          <w:sz w:val="28"/>
          <w:szCs w:val="28"/>
          <w:lang w:val="es-MX"/>
        </w:rPr>
      </w:pPr>
    </w:p>
    <w:p w14:paraId="5E683EDA" w14:textId="77777777" w:rsidR="0041396A" w:rsidRPr="001B60EA" w:rsidRDefault="0041396A" w:rsidP="00843FBD">
      <w:pPr>
        <w:spacing w:after="0" w:line="240" w:lineRule="atLeast"/>
        <w:jc w:val="center"/>
        <w:rPr>
          <w:rFonts w:ascii="Cambria" w:hAnsi="Cambria"/>
          <w:sz w:val="28"/>
          <w:szCs w:val="28"/>
          <w:lang w:val="es-MX"/>
        </w:rPr>
      </w:pPr>
    </w:p>
    <w:p w14:paraId="60400DA8" w14:textId="77777777" w:rsidR="0041396A" w:rsidRPr="001B60EA" w:rsidRDefault="0041396A" w:rsidP="00843FBD">
      <w:pPr>
        <w:spacing w:after="0" w:line="240" w:lineRule="atLeast"/>
        <w:jc w:val="center"/>
        <w:rPr>
          <w:rFonts w:ascii="Cambria" w:hAnsi="Cambria"/>
          <w:b/>
          <w:bCs/>
          <w:sz w:val="28"/>
          <w:szCs w:val="28"/>
          <w:lang w:val="es-MX"/>
        </w:rPr>
      </w:pPr>
      <w:r w:rsidRPr="001B60EA">
        <w:rPr>
          <w:rFonts w:ascii="Cambria" w:hAnsi="Cambria"/>
          <w:b/>
          <w:bCs/>
          <w:sz w:val="28"/>
          <w:szCs w:val="28"/>
          <w:lang w:val="es-MX"/>
        </w:rPr>
        <w:t>DIRECCIÓN DE COMUNICACIONES</w:t>
      </w:r>
    </w:p>
    <w:p w14:paraId="1458C56B" w14:textId="77777777" w:rsidR="0041396A" w:rsidRPr="001B60EA" w:rsidRDefault="0041396A" w:rsidP="00843FBD">
      <w:pPr>
        <w:spacing w:after="0" w:line="240" w:lineRule="atLeast"/>
        <w:jc w:val="both"/>
        <w:rPr>
          <w:rFonts w:ascii="Cambria" w:hAnsi="Cambria"/>
          <w:b/>
          <w:bCs/>
          <w:sz w:val="28"/>
          <w:szCs w:val="28"/>
          <w:lang w:val="es-MX"/>
        </w:rPr>
      </w:pPr>
    </w:p>
    <w:p w14:paraId="26678056" w14:textId="77777777" w:rsidR="00D9337F" w:rsidRPr="001B60EA" w:rsidRDefault="00D9337F" w:rsidP="00843FBD">
      <w:pPr>
        <w:spacing w:after="0" w:line="240" w:lineRule="atLeast"/>
        <w:rPr>
          <w:rFonts w:ascii="Cambria" w:hAnsi="Cambria"/>
          <w:sz w:val="28"/>
          <w:szCs w:val="28"/>
        </w:rPr>
      </w:pPr>
    </w:p>
    <w:sectPr w:rsidR="00D9337F" w:rsidRPr="001B60EA" w:rsidSect="00DD44F4">
      <w:headerReference w:type="default" r:id="rId7"/>
      <w:footerReference w:type="default" r:id="rId8"/>
      <w:pgSz w:w="12240" w:h="15840"/>
      <w:pgMar w:top="-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B9A20" w14:textId="77777777" w:rsidR="001D1B3B" w:rsidRDefault="001D1B3B" w:rsidP="007867B1">
      <w:pPr>
        <w:spacing w:after="0" w:line="240" w:lineRule="auto"/>
      </w:pPr>
      <w:r>
        <w:separator/>
      </w:r>
    </w:p>
  </w:endnote>
  <w:endnote w:type="continuationSeparator" w:id="0">
    <w:p w14:paraId="1AB2533C" w14:textId="77777777" w:rsidR="001D1B3B" w:rsidRDefault="001D1B3B" w:rsidP="0078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FEA2" w14:textId="046AF278" w:rsidR="00CA13C5" w:rsidRDefault="00492779" w:rsidP="00882A0A"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98C31D" wp14:editId="01B1287D">
              <wp:simplePos x="0" y="0"/>
              <wp:positionH relativeFrom="column">
                <wp:posOffset>3882390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68733573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3877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05.7pt;margin-top:5.6pt;width:0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CKAlrM3AAA&#10;AAoBAAAPAAAAZHJzL2Rvd25yZXYueG1sTI/BTsMwEETvSPyDtUhcEHVsQVXSOFWFxIEjbSWubrxN&#10;AvE6ip0m9OtZxAGOO/M0O1NsZt+JMw6xDWRALTIQSFVwLdUGDvuX+xWImCw52wVCA18YYVNeXxU2&#10;d2GiNzzvUi04hGJuDTQp9bmUsWrQ27gIPRJ7pzB4m/gcaukGO3G476TOsqX0tiX+0NgenxusPnej&#10;N4BxfFTZ9snXh9fLdPeuLx9Tvzfm9mberkEknNMfDD/1uTqU3OkYRnJRdAaWSj0wyobSIBj4FY4s&#10;6JUGWRby/4TyGwAA//8DAFBLAQItABQABgAIAAAAIQC2gziS/gAAAOEBAAATAAAAAAAAAAAAAAAA&#10;AAAAAABbQ29udGVudF9UeXBlc10ueG1sUEsBAi0AFAAGAAgAAAAhADj9If/WAAAAlAEAAAsAAAAA&#10;AAAAAAAAAAAALwEAAF9yZWxzLy5yZWxzUEsBAi0AFAAGAAgAAAAhAB/fjZjMAQAAkQMAAA4AAAAA&#10;AAAAAAAAAAAALgIAAGRycy9lMm9Eb2MueG1sUEsBAi0AFAAGAAgAAAAhAIoCWszcAAAACgEAAA8A&#10;AAAAAAAAAAAAAAAAJgQAAGRycy9kb3ducmV2LnhtbFBLBQYAAAAABAAEAPMAAAAvBQAAAAA=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8C31D" wp14:editId="58B38B56">
              <wp:simplePos x="0" y="0"/>
              <wp:positionH relativeFrom="column">
                <wp:posOffset>1548765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36290411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773931" id="AutoShape 2" o:spid="_x0000_s1026" type="#_x0000_t32" style="position:absolute;margin-left:121.95pt;margin-top:5.6pt;width:0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DR6+e03QAA&#10;AAoBAAAPAAAAZHJzL2Rvd25yZXYueG1sTI/NTsMwEITvSLyDtUi9IOrE/KgNcaqqEgeOtJW4uvGS&#10;pI3XUew0oU/PIg70uDOfZmfy1eRaccY+NJ40pPMEBFLpbUOVhv3u7WEBIkRD1rSeUMM3BlgVtze5&#10;yawf6QPP21gJDqGQGQ11jF0mZShrdCbMfYfE3pfvnYl89pW0vRk53LVSJcmLdKYh/lCbDjc1lqft&#10;4DRgGJ7TZL101f79Mt5/qstx7HZaz+6m9SuIiFP8h+G3PleHgjsd/EA2iFaDenpcMspGqkAw8Ccc&#10;WFALBbLI5fWE4gcAAP//AwBQSwECLQAUAAYACAAAACEAtoM4kv4AAADhAQAAEwAAAAAAAAAAAAAA&#10;AAAAAAAAW0NvbnRlbnRfVHlwZXNdLnhtbFBLAQItABQABgAIAAAAIQA4/SH/1gAAAJQBAAALAAAA&#10;AAAAAAAAAAAAAC8BAABfcmVscy8ucmVsc1BLAQItABQABgAIAAAAIQAf342YzAEAAJEDAAAOAAAA&#10;AAAAAAAAAAAAAC4CAABkcnMvZTJvRG9jLnhtbFBLAQItABQABgAIAAAAIQDR6+e03QAAAAoBAAAP&#10;AAAAAAAAAAAAAAAAACYEAABkcnMvZG93bnJldi54bWxQSwUGAAAAAAQABADzAAAAMAUAAAAA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D7A83A" wp14:editId="2286C7E2">
              <wp:simplePos x="0" y="0"/>
              <wp:positionH relativeFrom="column">
                <wp:posOffset>-908685</wp:posOffset>
              </wp:positionH>
              <wp:positionV relativeFrom="paragraph">
                <wp:posOffset>-24130</wp:posOffset>
              </wp:positionV>
              <wp:extent cx="7334250" cy="0"/>
              <wp:effectExtent l="9525" t="9525" r="9525" b="9525"/>
              <wp:wrapNone/>
              <wp:docPr id="187077596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342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6818B6" id="AutoShape 1" o:spid="_x0000_s1026" type="#_x0000_t32" style="position:absolute;margin-left:-71.55pt;margin-top:-1.9pt;width:57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1qCzQEAAJIDAAAOAAAAZHJzL2Uyb0RvYy54bWysU01v2zAMvQ/YfxB0X5ykyz6MOD2k6y7d&#10;FqDdD2Ak2RYmiwKpxM6/n6QlabFdhmE+EKJIPvE90uvbaXDiaIgt+kYuZnMpjFeore8a+f3p/s0H&#10;KTiC1+DQm0aeDMvbzetX6zHUZok9Om1IJBDP9Rga2ccY6qpi1ZsBeIbB+BRskQaIyaWu0gRjQh9c&#10;tZzP31Ujkg6EyjCn27tfQbkp+G1rVPzWtmyicI1MvcViqdh9ttVmDXVHEHqrzm3AP3QxgPXp0SvU&#10;HUQQB7J/QA1WETK2caZwqLBtrTKFQ2KzmP/G5rGHYAqXJA6Hq0z8/2DV1+PW7yi3rib/GB5Q/WDh&#10;cduD70xp4OkU0uAWWapqDFxfS7LDYUdiP35BnXLgELGoMLU0ZMjET0xF7NNVbDNFodLl+5ubt8tV&#10;mom6xCqoL4WBOH42OIh8aCRHAtv1cYvep5EiLcozcHzgmNuC+lKQX/V4b50rk3VejI38uFquSgGj&#10;szoHcxpTt986EkfIu1G+wjFFXqYRHrwuYL0B/clrEYsgPu2zzOiD0VI4k9Y/n0pmBOv+JjM17vxZ&#10;1qxkXluu96hPO8q8spcGXxielzRv1ku/ZD3/SpufAAAA//8DAFBLAwQUAAYACAAAACEA/YjZTN4A&#10;AAALAQAADwAAAGRycy9kb3ducmV2LnhtbEyPQU/DMAyF70j8h8hIXNCWZAPEStNpQuLAkW0S16wx&#10;baFxqiZdy349njiwm+339Py9fD35Vhyxj00gA3quQCCVwTVUGdjvXmdPIGKy5GwbCA38YIR1cX2V&#10;28yFkd7xuE2V4BCKmTVQp9RlUsayRm/jPHRIrH2G3tvEa19J19uRw30rF0o9Sm8b4g+17fClxvJ7&#10;O3gDGIcHrTYrX+3fTuPdx+L0NXY7Y25vps0ziIRT+jfDGZ/RoWCmQxjIRdEamOn7pWYvT0vucHYo&#10;rVcgDn8XWeTyskPxCwAA//8DAFBLAQItABQABgAIAAAAIQC2gziS/gAAAOEBAAATAAAAAAAAAAAA&#10;AAAAAAAAAABbQ29udGVudF9UeXBlc10ueG1sUEsBAi0AFAAGAAgAAAAhADj9If/WAAAAlAEAAAsA&#10;AAAAAAAAAAAAAAAALwEAAF9yZWxzLy5yZWxzUEsBAi0AFAAGAAgAAAAhALIrWoLNAQAAkgMAAA4A&#10;AAAAAAAAAAAAAAAALgIAAGRycy9lMm9Eb2MueG1sUEsBAi0AFAAGAAgAAAAhAP2I2UzeAAAACwEA&#10;AA8AAAAAAAAAAAAAAAAAJwQAAGRycy9kb3ducmV2LnhtbFBLBQYAAAAABAAEAPMAAAAyBQAAAAA=&#10;"/>
          </w:pict>
        </mc:Fallback>
      </mc:AlternateContent>
    </w:r>
  </w:p>
  <w:p w14:paraId="0B92A3A1" w14:textId="37F2C609" w:rsidR="00A10711" w:rsidRPr="00A10711" w:rsidRDefault="00CA13C5" w:rsidP="00CA13C5">
    <w:pPr>
      <w:pStyle w:val="Piedepgina"/>
      <w:ind w:left="-1418" w:right="-1227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</w:t>
    </w:r>
    <w:r w:rsidR="00A10711" w:rsidRPr="00A10711">
      <w:rPr>
        <w:rFonts w:ascii="Arial" w:hAnsi="Arial" w:cs="Arial"/>
        <w:sz w:val="18"/>
        <w:szCs w:val="18"/>
      </w:rPr>
      <w:t>Calle Isabel La Católica No. 60</w:t>
    </w:r>
    <w:r>
      <w:rPr>
        <w:rFonts w:ascii="Arial" w:hAnsi="Arial" w:cs="Arial"/>
        <w:sz w:val="18"/>
        <w:szCs w:val="18"/>
      </w:rPr>
      <w:t xml:space="preserve">                         </w:t>
    </w:r>
    <w:r>
      <w:t xml:space="preserve">San Juan Bautista #136, Esq.          </w:t>
    </w:r>
    <w:r w:rsidR="00882A0A">
      <w:t xml:space="preserve">      </w:t>
    </w:r>
    <w:r>
      <w:t xml:space="preserve">  Av.</w:t>
    </w:r>
    <w:r w:rsidR="00344CF6">
      <w:t xml:space="preserve"> Simón Bolívar No. 9, Sector Gas</w:t>
    </w:r>
    <w:r>
      <w:t>cue</w:t>
    </w:r>
    <w:r>
      <w:tab/>
    </w:r>
  </w:p>
  <w:p w14:paraId="4BE9235D" w14:textId="5044B689" w:rsidR="00A10711" w:rsidRPr="00A10711" w:rsidRDefault="00CA13C5" w:rsidP="00882A0A">
    <w:pPr>
      <w:pStyle w:val="Piedepgina"/>
      <w:ind w:left="-993" w:right="-1085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</w:t>
    </w:r>
    <w:r w:rsidR="00A10711" w:rsidRPr="00A10711">
      <w:rPr>
        <w:rFonts w:ascii="Arial" w:hAnsi="Arial" w:cs="Arial"/>
        <w:sz w:val="18"/>
        <w:szCs w:val="18"/>
      </w:rPr>
      <w:t xml:space="preserve">Esq. Conde, Zona Colonial, Sto. </w:t>
    </w:r>
    <w:proofErr w:type="spellStart"/>
    <w:r w:rsidR="00A10711" w:rsidRPr="00A10711">
      <w:rPr>
        <w:rFonts w:ascii="Arial" w:hAnsi="Arial" w:cs="Arial"/>
        <w:sz w:val="18"/>
        <w:szCs w:val="18"/>
      </w:rPr>
      <w:t>Dgo</w:t>
    </w:r>
    <w:proofErr w:type="spellEnd"/>
    <w:r w:rsidR="00A10711" w:rsidRPr="00A10711">
      <w:rPr>
        <w:rFonts w:ascii="Arial" w:hAnsi="Arial" w:cs="Arial"/>
        <w:sz w:val="18"/>
        <w:szCs w:val="18"/>
      </w:rPr>
      <w:t xml:space="preserve">., </w:t>
    </w:r>
    <w:r>
      <w:rPr>
        <w:rFonts w:ascii="Arial" w:hAnsi="Arial" w:cs="Arial"/>
        <w:sz w:val="18"/>
        <w:szCs w:val="18"/>
      </w:rPr>
      <w:tab/>
      <w:t xml:space="preserve">  Cayetano Germosén, Sector </w:t>
    </w:r>
    <w:proofErr w:type="spellStart"/>
    <w:r>
      <w:rPr>
        <w:rFonts w:ascii="Arial" w:hAnsi="Arial" w:cs="Arial"/>
        <w:sz w:val="18"/>
        <w:szCs w:val="18"/>
      </w:rPr>
      <w:t>Atala</w:t>
    </w:r>
    <w:proofErr w:type="spellEnd"/>
    <w:r>
      <w:rPr>
        <w:rFonts w:ascii="Arial" w:hAnsi="Arial" w:cs="Arial"/>
        <w:sz w:val="18"/>
        <w:szCs w:val="18"/>
      </w:rPr>
      <w:t>,</w:t>
    </w:r>
    <w:r w:rsidR="00882A0A">
      <w:rPr>
        <w:rFonts w:ascii="Arial" w:hAnsi="Arial" w:cs="Arial"/>
        <w:sz w:val="18"/>
        <w:szCs w:val="18"/>
      </w:rPr>
      <w:tab/>
      <w:t xml:space="preserve">                      Sto. </w:t>
    </w:r>
    <w:proofErr w:type="spellStart"/>
    <w:r w:rsidR="00882A0A">
      <w:rPr>
        <w:rFonts w:ascii="Arial" w:hAnsi="Arial" w:cs="Arial"/>
        <w:sz w:val="18"/>
        <w:szCs w:val="18"/>
      </w:rPr>
      <w:t>Dgo</w:t>
    </w:r>
    <w:proofErr w:type="spellEnd"/>
    <w:r w:rsidR="00882A0A">
      <w:rPr>
        <w:rFonts w:ascii="Arial" w:hAnsi="Arial" w:cs="Arial"/>
        <w:sz w:val="18"/>
        <w:szCs w:val="18"/>
      </w:rPr>
      <w:t>., Distrito Nacional, R.D.</w:t>
    </w:r>
  </w:p>
  <w:p w14:paraId="2849220D" w14:textId="2AAE2129" w:rsidR="007867B1" w:rsidRDefault="00A10711" w:rsidP="00882A0A">
    <w:pPr>
      <w:pStyle w:val="Piedepgina"/>
      <w:ind w:left="-993" w:right="-1085"/>
    </w:pPr>
    <w:r w:rsidRPr="00A10711">
      <w:rPr>
        <w:rFonts w:ascii="Arial" w:hAnsi="Arial" w:cs="Arial"/>
        <w:sz w:val="18"/>
        <w:szCs w:val="18"/>
      </w:rPr>
      <w:t>Distrito Nacional, R.D. Tel: 809-685-5259</w:t>
    </w:r>
    <w:r w:rsidR="00CA13C5">
      <w:rPr>
        <w:rFonts w:ascii="Arial" w:hAnsi="Arial" w:cs="Arial"/>
        <w:sz w:val="18"/>
        <w:szCs w:val="18"/>
      </w:rPr>
      <w:tab/>
      <w:t xml:space="preserve"> Sto. </w:t>
    </w:r>
    <w:proofErr w:type="spellStart"/>
    <w:r w:rsidR="00CA13C5">
      <w:rPr>
        <w:rFonts w:ascii="Arial" w:hAnsi="Arial" w:cs="Arial"/>
        <w:sz w:val="18"/>
        <w:szCs w:val="18"/>
      </w:rPr>
      <w:t>Dgo</w:t>
    </w:r>
    <w:proofErr w:type="spellEnd"/>
    <w:r w:rsidR="00CA13C5">
      <w:rPr>
        <w:rFonts w:ascii="Arial" w:hAnsi="Arial" w:cs="Arial"/>
        <w:sz w:val="18"/>
        <w:szCs w:val="18"/>
      </w:rPr>
      <w:t xml:space="preserve">., D.N.,R.D. </w:t>
    </w:r>
    <w:hyperlink r:id="rId1" w:history="1">
      <w:r w:rsidR="00882A0A" w:rsidRPr="00882A0A">
        <w:rPr>
          <w:rStyle w:val="Hipervnculo"/>
          <w:rFonts w:ascii="Arial" w:hAnsi="Arial" w:cs="Arial"/>
          <w:color w:val="auto"/>
          <w:sz w:val="18"/>
          <w:szCs w:val="18"/>
          <w:u w:val="none"/>
        </w:rPr>
        <w:t>Tel:809-685-4029</w:t>
      </w:r>
    </w:hyperlink>
    <w:r w:rsidR="00882A0A">
      <w:rPr>
        <w:rFonts w:ascii="Arial" w:hAnsi="Arial" w:cs="Arial"/>
        <w:sz w:val="18"/>
        <w:szCs w:val="18"/>
      </w:rPr>
      <w:t xml:space="preserve">                           </w:t>
    </w:r>
    <w:r w:rsidR="00882A0A">
      <w:rPr>
        <w:rFonts w:ascii="Arial" w:hAnsi="Arial" w:cs="Arial"/>
        <w:sz w:val="18"/>
        <w:szCs w:val="18"/>
      </w:rPr>
      <w:tab/>
      <w:t xml:space="preserve">       Tel: 809-685-4029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3C173" w14:textId="77777777" w:rsidR="001D1B3B" w:rsidRDefault="001D1B3B" w:rsidP="007867B1">
      <w:pPr>
        <w:spacing w:after="0" w:line="240" w:lineRule="auto"/>
      </w:pPr>
      <w:r>
        <w:separator/>
      </w:r>
    </w:p>
  </w:footnote>
  <w:footnote w:type="continuationSeparator" w:id="0">
    <w:p w14:paraId="3C46DDF3" w14:textId="77777777" w:rsidR="001D1B3B" w:rsidRDefault="001D1B3B" w:rsidP="00786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4320" w14:textId="3B67F6E9" w:rsidR="007867B1" w:rsidRPr="009D7DF7" w:rsidRDefault="009D7DF7" w:rsidP="009D7DF7">
    <w:pPr>
      <w:pStyle w:val="Encabezado"/>
      <w:ind w:right="-660"/>
      <w:rPr>
        <w:rFonts w:ascii="Arial" w:hAnsi="Arial" w:cs="Arial"/>
        <w:b/>
        <w:bCs/>
        <w:color w:val="2F5496" w:themeColor="accent1" w:themeShade="BF"/>
        <w:sz w:val="28"/>
        <w:szCs w:val="28"/>
      </w:rPr>
    </w:pPr>
    <w:r w:rsidRPr="009D7DF7">
      <w:rPr>
        <w:rFonts w:ascii="Arial" w:hAnsi="Arial" w:cs="Arial"/>
        <w:b/>
        <w:bCs/>
        <w:noProof/>
        <w:color w:val="4472C4" w:themeColor="accent1"/>
        <w:sz w:val="28"/>
        <w:szCs w:val="28"/>
        <w:lang w:val="es-DO" w:eastAsia="es-DO"/>
      </w:rPr>
      <w:drawing>
        <wp:anchor distT="0" distB="0" distL="114300" distR="114300" simplePos="0" relativeHeight="251658240" behindDoc="0" locked="0" layoutInCell="1" allowOverlap="1" wp14:anchorId="09B52AF9" wp14:editId="7078A49B">
          <wp:simplePos x="0" y="0"/>
          <wp:positionH relativeFrom="column">
            <wp:posOffset>-756285</wp:posOffset>
          </wp:positionH>
          <wp:positionV relativeFrom="paragraph">
            <wp:posOffset>-201930</wp:posOffset>
          </wp:positionV>
          <wp:extent cx="1143000" cy="1129030"/>
          <wp:effectExtent l="0" t="0" r="0" b="0"/>
          <wp:wrapSquare wrapText="bothSides"/>
          <wp:docPr id="20026981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38882" name="Imagen 1829838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29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711">
      <w:rPr>
        <w:rFonts w:ascii="Arial" w:hAnsi="Arial" w:cs="Arial"/>
        <w:b/>
        <w:bCs/>
        <w:color w:val="2F5496" w:themeColor="accent1" w:themeShade="BF"/>
        <w:sz w:val="28"/>
        <w:szCs w:val="28"/>
      </w:rPr>
      <w:t xml:space="preserve">   </w:t>
    </w:r>
    <w:r w:rsidR="007867B1" w:rsidRPr="009D7DF7">
      <w:rPr>
        <w:rFonts w:ascii="Arial" w:hAnsi="Arial" w:cs="Arial"/>
        <w:b/>
        <w:bCs/>
        <w:color w:val="2F5496" w:themeColor="accent1" w:themeShade="BF"/>
        <w:sz w:val="28"/>
        <w:szCs w:val="28"/>
      </w:rPr>
      <w:t>COLEGIO DE ABOGADOS DE LA REPÚBLICA DOMINICANA</w:t>
    </w:r>
  </w:p>
  <w:p w14:paraId="1FAD499A" w14:textId="35D23033" w:rsidR="007867B1" w:rsidRDefault="00A10711" w:rsidP="007867B1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     </w:t>
    </w:r>
    <w:r w:rsidR="007867B1" w:rsidRPr="007867B1">
      <w:rPr>
        <w:rFonts w:ascii="Arial" w:hAnsi="Arial" w:cs="Arial"/>
        <w:b/>
        <w:bCs/>
        <w:sz w:val="24"/>
        <w:szCs w:val="24"/>
      </w:rPr>
      <w:t>Fundado el 3 de febrero de 1983</w:t>
    </w:r>
  </w:p>
  <w:p w14:paraId="7936CCC4" w14:textId="1E781513" w:rsidR="007867B1" w:rsidRDefault="00A10711" w:rsidP="007867B1">
    <w:pPr>
      <w:pStyle w:val="Encabezad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           </w:t>
    </w:r>
    <w:r w:rsidR="007867B1">
      <w:rPr>
        <w:rFonts w:ascii="Arial" w:hAnsi="Arial" w:cs="Arial"/>
        <w:sz w:val="24"/>
        <w:szCs w:val="24"/>
      </w:rPr>
      <w:t>Miembro Activo de la Federación Interamericana de Abogados (FIA)</w:t>
    </w:r>
  </w:p>
  <w:p w14:paraId="76E60E98" w14:textId="753DDD33" w:rsid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</w:t>
    </w:r>
    <w:r w:rsidR="007867B1">
      <w:rPr>
        <w:rFonts w:ascii="Arial" w:hAnsi="Arial" w:cs="Arial"/>
        <w:sz w:val="24"/>
        <w:szCs w:val="24"/>
      </w:rPr>
      <w:t>Y de la Unión Iberoamericana de Colegios y Agrupaciones de Abogados (UIBA</w:t>
    </w:r>
    <w:r w:rsidR="009D7DF7">
      <w:rPr>
        <w:rFonts w:ascii="Arial" w:hAnsi="Arial" w:cs="Arial"/>
        <w:sz w:val="24"/>
        <w:szCs w:val="24"/>
      </w:rPr>
      <w:t>)</w:t>
    </w:r>
  </w:p>
  <w:p w14:paraId="052A8130" w14:textId="77777777" w:rsidR="00A10711" w:rsidRP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</w:p>
  <w:p w14:paraId="321D0AE0" w14:textId="77777777" w:rsidR="007867B1" w:rsidRPr="00882A0A" w:rsidRDefault="007867B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7B1"/>
    <w:rsid w:val="00013B96"/>
    <w:rsid w:val="0001793B"/>
    <w:rsid w:val="00025566"/>
    <w:rsid w:val="00030F9E"/>
    <w:rsid w:val="000452C6"/>
    <w:rsid w:val="00067062"/>
    <w:rsid w:val="000A0137"/>
    <w:rsid w:val="000F3CDF"/>
    <w:rsid w:val="00102770"/>
    <w:rsid w:val="00110A98"/>
    <w:rsid w:val="00150303"/>
    <w:rsid w:val="00153A69"/>
    <w:rsid w:val="0017106B"/>
    <w:rsid w:val="00186182"/>
    <w:rsid w:val="001B60EA"/>
    <w:rsid w:val="001B64D3"/>
    <w:rsid w:val="001C2ED9"/>
    <w:rsid w:val="001D1B3B"/>
    <w:rsid w:val="0021229B"/>
    <w:rsid w:val="002217BC"/>
    <w:rsid w:val="002317F2"/>
    <w:rsid w:val="00236116"/>
    <w:rsid w:val="00257966"/>
    <w:rsid w:val="00260D29"/>
    <w:rsid w:val="00261D74"/>
    <w:rsid w:val="002C79AE"/>
    <w:rsid w:val="002E24C3"/>
    <w:rsid w:val="002E28C4"/>
    <w:rsid w:val="002F70E5"/>
    <w:rsid w:val="00336CE6"/>
    <w:rsid w:val="00344CF6"/>
    <w:rsid w:val="00351F32"/>
    <w:rsid w:val="00353100"/>
    <w:rsid w:val="00362D83"/>
    <w:rsid w:val="00363BB4"/>
    <w:rsid w:val="003B3341"/>
    <w:rsid w:val="003D19D6"/>
    <w:rsid w:val="003D316B"/>
    <w:rsid w:val="003E588D"/>
    <w:rsid w:val="003F6C76"/>
    <w:rsid w:val="004014BB"/>
    <w:rsid w:val="0041396A"/>
    <w:rsid w:val="00416F00"/>
    <w:rsid w:val="004201B9"/>
    <w:rsid w:val="00450574"/>
    <w:rsid w:val="00451D15"/>
    <w:rsid w:val="00453DD8"/>
    <w:rsid w:val="0047557D"/>
    <w:rsid w:val="004907FC"/>
    <w:rsid w:val="00492779"/>
    <w:rsid w:val="004B3774"/>
    <w:rsid w:val="004B5B19"/>
    <w:rsid w:val="00504651"/>
    <w:rsid w:val="00553C59"/>
    <w:rsid w:val="00590503"/>
    <w:rsid w:val="005A154A"/>
    <w:rsid w:val="005C1589"/>
    <w:rsid w:val="005E2715"/>
    <w:rsid w:val="005F2863"/>
    <w:rsid w:val="00601A76"/>
    <w:rsid w:val="00647439"/>
    <w:rsid w:val="00664111"/>
    <w:rsid w:val="006912F8"/>
    <w:rsid w:val="006A0664"/>
    <w:rsid w:val="006C787C"/>
    <w:rsid w:val="007867B1"/>
    <w:rsid w:val="007F42B9"/>
    <w:rsid w:val="007F6BA3"/>
    <w:rsid w:val="0081055A"/>
    <w:rsid w:val="0084279F"/>
    <w:rsid w:val="00843FBD"/>
    <w:rsid w:val="008525E7"/>
    <w:rsid w:val="00862C4E"/>
    <w:rsid w:val="0087762C"/>
    <w:rsid w:val="0088239C"/>
    <w:rsid w:val="00882A0A"/>
    <w:rsid w:val="008A3FF7"/>
    <w:rsid w:val="008D2279"/>
    <w:rsid w:val="008D42E9"/>
    <w:rsid w:val="008D7D5C"/>
    <w:rsid w:val="009242D6"/>
    <w:rsid w:val="00930A7D"/>
    <w:rsid w:val="009735C5"/>
    <w:rsid w:val="00996967"/>
    <w:rsid w:val="009C7383"/>
    <w:rsid w:val="009D7DF7"/>
    <w:rsid w:val="009E5FF1"/>
    <w:rsid w:val="00A05937"/>
    <w:rsid w:val="00A1064F"/>
    <w:rsid w:val="00A10711"/>
    <w:rsid w:val="00A22E86"/>
    <w:rsid w:val="00A9357F"/>
    <w:rsid w:val="00AA4452"/>
    <w:rsid w:val="00AC33F4"/>
    <w:rsid w:val="00AE793A"/>
    <w:rsid w:val="00B3512D"/>
    <w:rsid w:val="00B53C5C"/>
    <w:rsid w:val="00B97452"/>
    <w:rsid w:val="00C2742A"/>
    <w:rsid w:val="00C509AA"/>
    <w:rsid w:val="00C54404"/>
    <w:rsid w:val="00C63222"/>
    <w:rsid w:val="00C7308C"/>
    <w:rsid w:val="00C82D75"/>
    <w:rsid w:val="00C922C4"/>
    <w:rsid w:val="00CA13C5"/>
    <w:rsid w:val="00CD691D"/>
    <w:rsid w:val="00CF21D2"/>
    <w:rsid w:val="00D21774"/>
    <w:rsid w:val="00D564DD"/>
    <w:rsid w:val="00D63875"/>
    <w:rsid w:val="00D9337F"/>
    <w:rsid w:val="00D93A45"/>
    <w:rsid w:val="00D93AE9"/>
    <w:rsid w:val="00D96B85"/>
    <w:rsid w:val="00DD44F4"/>
    <w:rsid w:val="00DF29C5"/>
    <w:rsid w:val="00DF78AE"/>
    <w:rsid w:val="00E4388D"/>
    <w:rsid w:val="00E509CD"/>
    <w:rsid w:val="00E54522"/>
    <w:rsid w:val="00E618F5"/>
    <w:rsid w:val="00E75015"/>
    <w:rsid w:val="00E84C64"/>
    <w:rsid w:val="00E855B6"/>
    <w:rsid w:val="00ED0B3D"/>
    <w:rsid w:val="00EF19CC"/>
    <w:rsid w:val="00F6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4B422"/>
  <w15:docId w15:val="{D8313858-4D40-4D32-B02C-3D337ABD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D83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kern w:val="2"/>
      <w:lang w:val="es-ES_tradnl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7867B1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kern w:val="2"/>
      <w:lang w:val="es-ES_tradnl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867B1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882A0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82A0A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344CF6"/>
    <w:pPr>
      <w:spacing w:after="0" w:line="240" w:lineRule="auto"/>
    </w:pPr>
    <w:rPr>
      <w:kern w:val="0"/>
      <w:lang w:val="es-ES"/>
      <w14:ligatures w14:val="none"/>
    </w:rPr>
  </w:style>
  <w:style w:type="paragraph" w:styleId="NormalWeb">
    <w:name w:val="Normal (Web)"/>
    <w:basedOn w:val="Normal"/>
    <w:uiPriority w:val="99"/>
    <w:unhideWhenUsed/>
    <w:rsid w:val="003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809-685-40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F40DF-B484-4026-A7D3-9CD41311C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521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jerfry sanchez</dc:creator>
  <cp:keywords/>
  <dc:description/>
  <cp:lastModifiedBy>Trajano Vidal Potentini Adames</cp:lastModifiedBy>
  <cp:revision>6</cp:revision>
  <cp:lastPrinted>2025-10-06T15:17:00Z</cp:lastPrinted>
  <dcterms:created xsi:type="dcterms:W3CDTF">2025-10-06T15:07:00Z</dcterms:created>
  <dcterms:modified xsi:type="dcterms:W3CDTF">2025-10-06T15:51:00Z</dcterms:modified>
</cp:coreProperties>
</file>