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A5273" w14:textId="25AC53B3" w:rsidR="003D52E0" w:rsidRPr="0085049E" w:rsidRDefault="003D52E0" w:rsidP="0085049E">
      <w:pPr>
        <w:spacing w:after="0" w:line="240" w:lineRule="atLeast"/>
        <w:jc w:val="center"/>
        <w:outlineLvl w:val="3"/>
        <w:rPr>
          <w:rFonts w:ascii="Cambria" w:eastAsia="Times New Roman" w:hAnsi="Cambria" w:cs="Times New Roman"/>
          <w:b/>
          <w:bCs/>
          <w:kern w:val="0"/>
          <w:sz w:val="26"/>
          <w:szCs w:val="26"/>
          <w:lang w:val="es-DO" w:eastAsia="es-DO"/>
          <w14:ligatures w14:val="none"/>
        </w:rPr>
      </w:pPr>
      <w:bookmarkStart w:id="0" w:name="_GoBack"/>
      <w:r w:rsidRPr="0085049E">
        <w:rPr>
          <w:rFonts w:ascii="Cambria" w:eastAsia="Times New Roman" w:hAnsi="Cambria" w:cs="Times New Roman"/>
          <w:b/>
          <w:bCs/>
          <w:kern w:val="0"/>
          <w:sz w:val="26"/>
          <w:szCs w:val="26"/>
          <w:lang w:val="es-DO" w:eastAsia="es-DO"/>
          <w14:ligatures w14:val="none"/>
        </w:rPr>
        <w:t xml:space="preserve">Nota de </w:t>
      </w:r>
      <w:r w:rsidR="006706C7" w:rsidRPr="0085049E">
        <w:rPr>
          <w:rFonts w:ascii="Cambria" w:eastAsia="Times New Roman" w:hAnsi="Cambria" w:cs="Times New Roman"/>
          <w:b/>
          <w:bCs/>
          <w:kern w:val="0"/>
          <w:sz w:val="26"/>
          <w:szCs w:val="26"/>
          <w:lang w:val="es-DO" w:eastAsia="es-DO"/>
          <w14:ligatures w14:val="none"/>
        </w:rPr>
        <w:t>Pr</w:t>
      </w:r>
      <w:r w:rsidRPr="0085049E">
        <w:rPr>
          <w:rFonts w:ascii="Cambria" w:eastAsia="Times New Roman" w:hAnsi="Cambria" w:cs="Times New Roman"/>
          <w:b/>
          <w:bCs/>
          <w:kern w:val="0"/>
          <w:sz w:val="26"/>
          <w:szCs w:val="26"/>
          <w:lang w:val="es-DO" w:eastAsia="es-DO"/>
          <w14:ligatures w14:val="none"/>
        </w:rPr>
        <w:t>ensa</w:t>
      </w:r>
    </w:p>
    <w:p w14:paraId="70042128" w14:textId="77777777" w:rsidR="007D335F" w:rsidRPr="0085049E" w:rsidRDefault="007D335F" w:rsidP="0085049E">
      <w:pPr>
        <w:spacing w:after="0" w:line="240" w:lineRule="atLeast"/>
        <w:jc w:val="center"/>
        <w:outlineLvl w:val="3"/>
        <w:rPr>
          <w:rFonts w:ascii="Cambria" w:eastAsia="Times New Roman" w:hAnsi="Cambria" w:cs="Times New Roman"/>
          <w:b/>
          <w:bCs/>
          <w:kern w:val="0"/>
          <w:sz w:val="26"/>
          <w:szCs w:val="26"/>
          <w:lang w:val="es-DO" w:eastAsia="es-DO"/>
          <w14:ligatures w14:val="none"/>
        </w:rPr>
      </w:pPr>
    </w:p>
    <w:p w14:paraId="6B21F0E2" w14:textId="015F327A" w:rsidR="00092A97" w:rsidRPr="0085049E" w:rsidRDefault="003F4D33" w:rsidP="0085049E">
      <w:pPr>
        <w:spacing w:after="0" w:line="240" w:lineRule="atLeast"/>
        <w:jc w:val="center"/>
        <w:outlineLvl w:val="3"/>
        <w:rPr>
          <w:rFonts w:ascii="Cambria" w:eastAsia="Times New Roman" w:hAnsi="Cambria" w:cs="Times New Roman"/>
          <w:b/>
          <w:bCs/>
          <w:kern w:val="0"/>
          <w:sz w:val="26"/>
          <w:szCs w:val="26"/>
          <w:lang w:val="es-DO" w:eastAsia="es-DO"/>
          <w14:ligatures w14:val="none"/>
        </w:rPr>
      </w:pPr>
      <w:r w:rsidRPr="0085049E">
        <w:rPr>
          <w:rFonts w:ascii="Cambria" w:eastAsia="Times New Roman" w:hAnsi="Cambria" w:cs="Times New Roman"/>
          <w:b/>
          <w:bCs/>
          <w:kern w:val="0"/>
          <w:sz w:val="26"/>
          <w:szCs w:val="26"/>
          <w:lang w:val="es-DO" w:eastAsia="es-DO"/>
          <w14:ligatures w14:val="none"/>
        </w:rPr>
        <w:t xml:space="preserve">Entidades sociales expresan preocupación por </w:t>
      </w:r>
      <w:r w:rsidR="005F0756" w:rsidRPr="0085049E">
        <w:rPr>
          <w:rFonts w:ascii="Cambria" w:eastAsia="Times New Roman" w:hAnsi="Cambria" w:cs="Times New Roman"/>
          <w:b/>
          <w:bCs/>
          <w:kern w:val="0"/>
          <w:sz w:val="26"/>
          <w:szCs w:val="26"/>
          <w:lang w:val="es-DO" w:eastAsia="es-DO"/>
          <w14:ligatures w14:val="none"/>
        </w:rPr>
        <w:t>inconstitucionalidad</w:t>
      </w:r>
      <w:r w:rsidRPr="0085049E">
        <w:rPr>
          <w:rFonts w:ascii="Cambria" w:eastAsia="Times New Roman" w:hAnsi="Cambria" w:cs="Times New Roman"/>
          <w:b/>
          <w:bCs/>
          <w:kern w:val="0"/>
          <w:sz w:val="26"/>
          <w:szCs w:val="26"/>
          <w:lang w:val="es-DO" w:eastAsia="es-DO"/>
          <w14:ligatures w14:val="none"/>
        </w:rPr>
        <w:t xml:space="preserve"> de </w:t>
      </w:r>
      <w:r w:rsidR="005F0756" w:rsidRPr="0085049E">
        <w:rPr>
          <w:rFonts w:ascii="Cambria" w:eastAsia="Times New Roman" w:hAnsi="Cambria" w:cs="Times New Roman"/>
          <w:b/>
          <w:bCs/>
          <w:kern w:val="0"/>
          <w:sz w:val="26"/>
          <w:szCs w:val="26"/>
          <w:lang w:val="es-DO" w:eastAsia="es-DO"/>
          <w14:ligatures w14:val="none"/>
        </w:rPr>
        <w:t>ley aprobada por el senado dándoles c</w:t>
      </w:r>
      <w:r w:rsidR="00092A97" w:rsidRPr="0085049E">
        <w:rPr>
          <w:rFonts w:ascii="Cambria" w:eastAsia="Times New Roman" w:hAnsi="Cambria" w:cs="Times New Roman"/>
          <w:b/>
          <w:bCs/>
          <w:kern w:val="0"/>
          <w:sz w:val="26"/>
          <w:szCs w:val="26"/>
          <w:lang w:val="es-DO" w:eastAsia="es-DO"/>
          <w14:ligatures w14:val="none"/>
        </w:rPr>
        <w:t xml:space="preserve">ompetencia </w:t>
      </w:r>
      <w:r w:rsidR="005F0756" w:rsidRPr="0085049E">
        <w:rPr>
          <w:rFonts w:ascii="Cambria" w:eastAsia="Times New Roman" w:hAnsi="Cambria" w:cs="Times New Roman"/>
          <w:b/>
          <w:bCs/>
          <w:kern w:val="0"/>
          <w:sz w:val="26"/>
          <w:szCs w:val="26"/>
          <w:lang w:val="es-DO" w:eastAsia="es-DO"/>
          <w14:ligatures w14:val="none"/>
        </w:rPr>
        <w:t>al TSE sobre los sobre</w:t>
      </w:r>
      <w:r w:rsidR="00092A97" w:rsidRPr="0085049E">
        <w:rPr>
          <w:rFonts w:ascii="Cambria" w:eastAsia="Times New Roman" w:hAnsi="Cambria" w:cs="Times New Roman"/>
          <w:b/>
          <w:bCs/>
          <w:kern w:val="0"/>
          <w:sz w:val="26"/>
          <w:szCs w:val="26"/>
          <w:lang w:val="es-DO" w:eastAsia="es-DO"/>
          <w14:ligatures w14:val="none"/>
        </w:rPr>
        <w:t xml:space="preserve"> gremios profesionales</w:t>
      </w:r>
      <w:r w:rsidR="005F0756" w:rsidRPr="0085049E">
        <w:rPr>
          <w:rFonts w:ascii="Cambria" w:eastAsia="Times New Roman" w:hAnsi="Cambria" w:cs="Times New Roman"/>
          <w:b/>
          <w:bCs/>
          <w:kern w:val="0"/>
          <w:sz w:val="26"/>
          <w:szCs w:val="26"/>
          <w:lang w:val="es-DO" w:eastAsia="es-DO"/>
          <w14:ligatures w14:val="none"/>
        </w:rPr>
        <w:t xml:space="preserve"> y otras asociaciones</w:t>
      </w:r>
    </w:p>
    <w:p w14:paraId="7AB833F2" w14:textId="77777777" w:rsidR="00092A97" w:rsidRPr="0085049E" w:rsidRDefault="00092A97" w:rsidP="0085049E">
      <w:pPr>
        <w:spacing w:after="0" w:line="240" w:lineRule="atLeast"/>
        <w:jc w:val="both"/>
        <w:outlineLvl w:val="3"/>
        <w:rPr>
          <w:rFonts w:ascii="Cambria" w:eastAsia="Times New Roman" w:hAnsi="Cambria" w:cs="Times New Roman"/>
          <w:b/>
          <w:bCs/>
          <w:kern w:val="0"/>
          <w:sz w:val="26"/>
          <w:szCs w:val="26"/>
          <w:lang w:val="es-DO" w:eastAsia="es-DO"/>
          <w14:ligatures w14:val="none"/>
        </w:rPr>
      </w:pPr>
    </w:p>
    <w:p w14:paraId="1DD7CAA2" w14:textId="726CA535" w:rsidR="00400BD6" w:rsidRDefault="003D52E0" w:rsidP="0085049E">
      <w:pPr>
        <w:pStyle w:val="NormalWeb"/>
        <w:shd w:val="clear" w:color="auto" w:fill="FFFFFF"/>
        <w:spacing w:before="0" w:beforeAutospacing="0" w:after="0" w:afterAutospacing="0" w:line="240" w:lineRule="atLeast"/>
        <w:jc w:val="both"/>
        <w:rPr>
          <w:rFonts w:ascii="Cambria" w:hAnsi="Cambria" w:cs="Arial"/>
          <w:sz w:val="26"/>
          <w:szCs w:val="26"/>
        </w:rPr>
      </w:pPr>
      <w:r w:rsidRPr="0085049E">
        <w:rPr>
          <w:rFonts w:ascii="Cambria" w:hAnsi="Cambria"/>
          <w:b/>
          <w:bCs/>
          <w:sz w:val="26"/>
          <w:szCs w:val="26"/>
        </w:rPr>
        <w:t xml:space="preserve">Santo Domingo, República Dominicana, </w:t>
      </w:r>
      <w:r w:rsidR="00383F0A" w:rsidRPr="0085049E">
        <w:rPr>
          <w:rFonts w:ascii="Cambria" w:hAnsi="Cambria"/>
          <w:b/>
          <w:bCs/>
          <w:sz w:val="26"/>
          <w:szCs w:val="26"/>
        </w:rPr>
        <w:t>2</w:t>
      </w:r>
      <w:r w:rsidR="005F0756" w:rsidRPr="0085049E">
        <w:rPr>
          <w:rFonts w:ascii="Cambria" w:hAnsi="Cambria"/>
          <w:b/>
          <w:bCs/>
          <w:sz w:val="26"/>
          <w:szCs w:val="26"/>
        </w:rPr>
        <w:t>5</w:t>
      </w:r>
      <w:r w:rsidRPr="0085049E">
        <w:rPr>
          <w:rFonts w:ascii="Cambria" w:hAnsi="Cambria"/>
          <w:b/>
          <w:bCs/>
          <w:sz w:val="26"/>
          <w:szCs w:val="26"/>
        </w:rPr>
        <w:t xml:space="preserve"> de noviembre </w:t>
      </w:r>
      <w:r w:rsidR="00383F0A" w:rsidRPr="0085049E">
        <w:rPr>
          <w:rFonts w:ascii="Cambria" w:hAnsi="Cambria"/>
          <w:b/>
          <w:bCs/>
          <w:sz w:val="26"/>
          <w:szCs w:val="26"/>
        </w:rPr>
        <w:t>2024.</w:t>
      </w:r>
      <w:r w:rsidR="001227FD" w:rsidRPr="0085049E">
        <w:rPr>
          <w:rFonts w:ascii="Cambria" w:hAnsi="Cambria"/>
          <w:b/>
          <w:bCs/>
          <w:sz w:val="26"/>
          <w:szCs w:val="26"/>
        </w:rPr>
        <w:t>-</w:t>
      </w:r>
      <w:r w:rsidR="005F0756" w:rsidRPr="0085049E">
        <w:rPr>
          <w:rFonts w:ascii="Cambria" w:hAnsi="Cambria" w:cs="Calibri"/>
          <w:b/>
          <w:bCs/>
          <w:color w:val="222222"/>
          <w:sz w:val="26"/>
          <w:szCs w:val="26"/>
          <w:shd w:val="clear" w:color="auto" w:fill="FFFFFF"/>
          <w:lang w:val="es-ES_tradnl"/>
        </w:rPr>
        <w:t xml:space="preserve"> </w:t>
      </w:r>
      <w:r w:rsidR="005F0756" w:rsidRPr="0085049E">
        <w:rPr>
          <w:rFonts w:ascii="Cambria" w:hAnsi="Cambria" w:cs="Calibri"/>
          <w:bCs/>
          <w:color w:val="222222"/>
          <w:sz w:val="26"/>
          <w:szCs w:val="26"/>
          <w:shd w:val="clear" w:color="auto" w:fill="FFFFFF"/>
          <w:lang w:val="es-ES_tradnl"/>
        </w:rPr>
        <w:t xml:space="preserve">El Colegio de Abogados de la República Dominicana </w:t>
      </w:r>
      <w:r w:rsidR="005F0756" w:rsidRPr="0085049E">
        <w:rPr>
          <w:rFonts w:ascii="Cambria" w:hAnsi="Cambria" w:cs="Calibri"/>
          <w:b/>
          <w:bCs/>
          <w:color w:val="222222"/>
          <w:sz w:val="26"/>
          <w:szCs w:val="26"/>
          <w:shd w:val="clear" w:color="auto" w:fill="FFFFFF"/>
          <w:lang w:val="es-ES_tradnl"/>
        </w:rPr>
        <w:t xml:space="preserve">(CARD), </w:t>
      </w:r>
      <w:r w:rsidR="005F0756" w:rsidRPr="0085049E">
        <w:rPr>
          <w:rFonts w:ascii="Cambria" w:hAnsi="Cambria" w:cs="Calibri"/>
          <w:bCs/>
          <w:color w:val="222222"/>
          <w:sz w:val="26"/>
          <w:szCs w:val="26"/>
          <w:shd w:val="clear" w:color="auto" w:fill="FFFFFF"/>
          <w:lang w:val="es-ES_tradnl"/>
        </w:rPr>
        <w:t xml:space="preserve">Conjuntamente con la Alianza Dominicana Contra la Corrupción </w:t>
      </w:r>
      <w:r w:rsidR="005F0756" w:rsidRPr="0085049E">
        <w:rPr>
          <w:rFonts w:ascii="Cambria" w:hAnsi="Cambria" w:cs="Calibri"/>
          <w:b/>
          <w:bCs/>
          <w:color w:val="222222"/>
          <w:sz w:val="26"/>
          <w:szCs w:val="26"/>
          <w:shd w:val="clear" w:color="auto" w:fill="FFFFFF"/>
          <w:lang w:val="es-ES_tradnl"/>
        </w:rPr>
        <w:t xml:space="preserve">(ADOCCO), </w:t>
      </w:r>
      <w:r w:rsidR="005F0756" w:rsidRPr="0085049E">
        <w:rPr>
          <w:rFonts w:ascii="Cambria" w:hAnsi="Cambria" w:cs="Calibri"/>
          <w:bCs/>
          <w:color w:val="222222"/>
          <w:sz w:val="26"/>
          <w:szCs w:val="26"/>
          <w:shd w:val="clear" w:color="auto" w:fill="FFFFFF"/>
          <w:lang w:val="es-ES_tradnl"/>
        </w:rPr>
        <w:t xml:space="preserve">y la Fundación Justicia y Transparencia </w:t>
      </w:r>
      <w:r w:rsidR="005F0756" w:rsidRPr="0085049E">
        <w:rPr>
          <w:rFonts w:ascii="Cambria" w:hAnsi="Cambria" w:cs="Calibri"/>
          <w:b/>
          <w:bCs/>
          <w:color w:val="222222"/>
          <w:sz w:val="26"/>
          <w:szCs w:val="26"/>
          <w:shd w:val="clear" w:color="auto" w:fill="FFFFFF"/>
          <w:lang w:val="es-ES_tradnl"/>
        </w:rPr>
        <w:t>(FJT),</w:t>
      </w:r>
      <w:r w:rsidR="00092A97" w:rsidRPr="0085049E">
        <w:rPr>
          <w:rFonts w:ascii="Cambria" w:hAnsi="Cambria" w:cs="Arial"/>
          <w:sz w:val="26"/>
          <w:szCs w:val="26"/>
        </w:rPr>
        <w:t xml:space="preserve"> </w:t>
      </w:r>
      <w:r w:rsidR="00400BD6" w:rsidRPr="0085049E">
        <w:rPr>
          <w:rFonts w:ascii="Cambria" w:hAnsi="Cambria" w:cs="Arial"/>
          <w:sz w:val="26"/>
          <w:szCs w:val="26"/>
        </w:rPr>
        <w:t xml:space="preserve">expresaron su preocupación por la transgresión a la </w:t>
      </w:r>
      <w:r w:rsidR="00185C44" w:rsidRPr="0085049E">
        <w:rPr>
          <w:rFonts w:ascii="Cambria" w:hAnsi="Cambria" w:cs="Arial"/>
          <w:sz w:val="26"/>
          <w:szCs w:val="26"/>
        </w:rPr>
        <w:t>Con</w:t>
      </w:r>
      <w:r w:rsidR="00400BD6" w:rsidRPr="0085049E">
        <w:rPr>
          <w:rFonts w:ascii="Cambria" w:hAnsi="Cambria" w:cs="Arial"/>
          <w:sz w:val="26"/>
          <w:szCs w:val="26"/>
        </w:rPr>
        <w:t>stitución y la democracia, en que se traduciría la aprobación y modificación a la Ley Orgánica del Tribunal Superior Electoral, adjudicándose la competencia de los gremios profesionales y otras asociaciones, como recientemente anunciara el Senado de la República.</w:t>
      </w:r>
    </w:p>
    <w:p w14:paraId="1E8AD744" w14:textId="77777777" w:rsidR="0085049E" w:rsidRPr="0085049E" w:rsidRDefault="0085049E" w:rsidP="0085049E">
      <w:pPr>
        <w:pStyle w:val="NormalWeb"/>
        <w:shd w:val="clear" w:color="auto" w:fill="FFFFFF"/>
        <w:spacing w:before="0" w:beforeAutospacing="0" w:after="0" w:afterAutospacing="0" w:line="240" w:lineRule="atLeast"/>
        <w:jc w:val="both"/>
        <w:rPr>
          <w:rFonts w:ascii="Cambria" w:hAnsi="Cambria" w:cs="Arial"/>
          <w:sz w:val="26"/>
          <w:szCs w:val="26"/>
        </w:rPr>
      </w:pPr>
    </w:p>
    <w:p w14:paraId="5DEF4F32" w14:textId="3EFFF624" w:rsidR="00144768" w:rsidRDefault="00400BD6" w:rsidP="0085049E">
      <w:pPr>
        <w:pStyle w:val="NormalWeb"/>
        <w:shd w:val="clear" w:color="auto" w:fill="FFFFFF"/>
        <w:spacing w:before="0" w:beforeAutospacing="0" w:after="0" w:afterAutospacing="0" w:line="240" w:lineRule="atLeast"/>
        <w:jc w:val="both"/>
        <w:rPr>
          <w:rFonts w:ascii="Cambria" w:hAnsi="Cambria" w:cs="Arial"/>
          <w:sz w:val="26"/>
          <w:szCs w:val="26"/>
        </w:rPr>
      </w:pPr>
      <w:r w:rsidRPr="0085049E">
        <w:rPr>
          <w:rFonts w:ascii="Cambria" w:hAnsi="Cambria" w:cs="Arial"/>
          <w:sz w:val="26"/>
          <w:szCs w:val="26"/>
        </w:rPr>
        <w:t>Los dirigentes gremiales y sociales llaman particularmente la atención de los diputados</w:t>
      </w:r>
      <w:r w:rsidR="00BB1E73" w:rsidRPr="0085049E">
        <w:rPr>
          <w:rFonts w:ascii="Cambria" w:hAnsi="Cambria" w:cs="Arial"/>
          <w:sz w:val="26"/>
          <w:szCs w:val="26"/>
        </w:rPr>
        <w:t>,</w:t>
      </w:r>
      <w:r w:rsidRPr="0085049E">
        <w:rPr>
          <w:rFonts w:ascii="Cambria" w:hAnsi="Cambria" w:cs="Arial"/>
          <w:sz w:val="26"/>
          <w:szCs w:val="26"/>
        </w:rPr>
        <w:t xml:space="preserve"> para que corrijan </w:t>
      </w:r>
      <w:r w:rsidR="00BB1E73" w:rsidRPr="0085049E">
        <w:rPr>
          <w:rFonts w:ascii="Cambria" w:hAnsi="Cambria" w:cs="Arial"/>
          <w:sz w:val="26"/>
          <w:szCs w:val="26"/>
        </w:rPr>
        <w:t xml:space="preserve">los referidos desfase, contenidos en el proyecto aprobado por el senado, por ejemplo en el </w:t>
      </w:r>
      <w:r w:rsidR="00144768" w:rsidRPr="0085049E">
        <w:rPr>
          <w:rFonts w:ascii="Cambria" w:hAnsi="Cambria" w:cs="Arial"/>
          <w:sz w:val="26"/>
          <w:szCs w:val="26"/>
        </w:rPr>
        <w:t>artículo</w:t>
      </w:r>
      <w:r w:rsidR="00BB1E73" w:rsidRPr="0085049E">
        <w:rPr>
          <w:rFonts w:ascii="Cambria" w:hAnsi="Cambria" w:cs="Arial"/>
          <w:sz w:val="26"/>
          <w:szCs w:val="26"/>
        </w:rPr>
        <w:t xml:space="preserve"> 12 numeral diez se consignan competencias fuera de los criterio y pautas </w:t>
      </w:r>
      <w:r w:rsidR="00144768" w:rsidRPr="0085049E">
        <w:rPr>
          <w:rFonts w:ascii="Cambria" w:hAnsi="Cambria" w:cs="Arial"/>
          <w:sz w:val="26"/>
          <w:szCs w:val="26"/>
        </w:rPr>
        <w:t>constitucionales</w:t>
      </w:r>
      <w:r w:rsidR="00BB1E73" w:rsidRPr="0085049E">
        <w:rPr>
          <w:rFonts w:ascii="Cambria" w:hAnsi="Cambria" w:cs="Arial"/>
          <w:sz w:val="26"/>
          <w:szCs w:val="26"/>
        </w:rPr>
        <w:t>, y citamos:</w:t>
      </w:r>
      <w:r w:rsidR="00144768" w:rsidRPr="0085049E">
        <w:rPr>
          <w:rFonts w:ascii="Arial" w:eastAsia="Arial" w:hAnsi="Arial" w:cs="Arial"/>
          <w:color w:val="676767"/>
          <w:sz w:val="26"/>
          <w:szCs w:val="26"/>
        </w:rPr>
        <w:t xml:space="preserve"> </w:t>
      </w:r>
      <w:r w:rsidR="00144768" w:rsidRPr="0085049E">
        <w:rPr>
          <w:rFonts w:ascii="Cambria" w:hAnsi="Cambria" w:cs="Arial"/>
          <w:i/>
          <w:sz w:val="26"/>
          <w:szCs w:val="26"/>
          <w:u w:val="single"/>
        </w:rPr>
        <w:t>10) Conocer y decidir los conflictos que surjan a lo interno de los colegios gremiales constituidos por ley como corporación de derecho público y los gremios o las asociaciones legalmente constituidas, en ocasión de la celebración de las elecciones para escoger a sus directivos, así como  también de las impugnaciones contra las resoluciones, actos y demás decisiones que sean dictados por los entes encargados de la celebración de las elecciones de las entidades de estas entidades, siempre que  las mismas violen o límite de forma irrazonable los derechos de ciudadanía en sus miembros.</w:t>
      </w:r>
      <w:r w:rsidR="00144768" w:rsidRPr="0085049E">
        <w:rPr>
          <w:rFonts w:ascii="Cambria" w:hAnsi="Cambria" w:cs="Arial"/>
          <w:sz w:val="26"/>
          <w:szCs w:val="26"/>
        </w:rPr>
        <w:t xml:space="preserve"> En términos similares también se expresa en relación con los amparos el articulo 32 y su párrafo.</w:t>
      </w:r>
    </w:p>
    <w:p w14:paraId="7C929964" w14:textId="77777777" w:rsidR="0085049E" w:rsidRPr="0085049E" w:rsidRDefault="0085049E" w:rsidP="0085049E">
      <w:pPr>
        <w:pStyle w:val="NormalWeb"/>
        <w:shd w:val="clear" w:color="auto" w:fill="FFFFFF"/>
        <w:spacing w:before="0" w:beforeAutospacing="0" w:after="0" w:afterAutospacing="0" w:line="240" w:lineRule="atLeast"/>
        <w:jc w:val="both"/>
        <w:rPr>
          <w:rFonts w:ascii="Cambria" w:hAnsi="Cambria" w:cs="Arial"/>
          <w:sz w:val="26"/>
          <w:szCs w:val="26"/>
        </w:rPr>
      </w:pPr>
    </w:p>
    <w:p w14:paraId="510C490F" w14:textId="5C569E2E" w:rsidR="00092A97" w:rsidRPr="0085049E" w:rsidRDefault="001227FD" w:rsidP="0085049E">
      <w:pPr>
        <w:shd w:val="clear" w:color="auto" w:fill="FFFFFF"/>
        <w:spacing w:after="0" w:line="240" w:lineRule="atLeast"/>
        <w:jc w:val="both"/>
        <w:rPr>
          <w:rFonts w:ascii="Cambria" w:eastAsia="Times New Roman" w:hAnsi="Cambria" w:cs="Arial"/>
          <w:i/>
          <w:kern w:val="0"/>
          <w:sz w:val="26"/>
          <w:szCs w:val="26"/>
          <w:u w:val="single"/>
          <w:lang w:val="es-DO" w:eastAsia="es-DO"/>
          <w14:ligatures w14:val="none"/>
        </w:rPr>
      </w:pPr>
      <w:r w:rsidRPr="0085049E">
        <w:rPr>
          <w:rFonts w:ascii="Cambria" w:eastAsia="Times New Roman" w:hAnsi="Cambria" w:cs="Arial"/>
          <w:kern w:val="0"/>
          <w:sz w:val="26"/>
          <w:szCs w:val="26"/>
          <w:lang w:val="es-DO" w:eastAsia="es-DO"/>
          <w14:ligatures w14:val="none"/>
        </w:rPr>
        <w:t xml:space="preserve">El gremio que agrupa los abogados </w:t>
      </w:r>
      <w:r w:rsidR="007F6B8D" w:rsidRPr="0085049E">
        <w:rPr>
          <w:rFonts w:ascii="Cambria" w:eastAsia="Times New Roman" w:hAnsi="Cambria" w:cs="Arial"/>
          <w:kern w:val="0"/>
          <w:sz w:val="26"/>
          <w:szCs w:val="26"/>
          <w:lang w:val="es-DO" w:eastAsia="es-DO"/>
          <w14:ligatures w14:val="none"/>
        </w:rPr>
        <w:t>explicó</w:t>
      </w:r>
      <w:r w:rsidRPr="0085049E">
        <w:rPr>
          <w:rFonts w:ascii="Cambria" w:eastAsia="Times New Roman" w:hAnsi="Cambria" w:cs="Arial"/>
          <w:kern w:val="0"/>
          <w:sz w:val="26"/>
          <w:szCs w:val="26"/>
          <w:lang w:val="es-DO" w:eastAsia="es-DO"/>
          <w14:ligatures w14:val="none"/>
        </w:rPr>
        <w:t xml:space="preserve"> que ni siquiera para el </w:t>
      </w:r>
      <w:r w:rsidR="00325373" w:rsidRPr="0085049E">
        <w:rPr>
          <w:rFonts w:ascii="Cambria" w:eastAsia="Times New Roman" w:hAnsi="Cambria" w:cs="Arial"/>
          <w:kern w:val="0"/>
          <w:sz w:val="26"/>
          <w:szCs w:val="26"/>
          <w:lang w:val="es-DO" w:eastAsia="es-DO"/>
          <w14:ligatures w14:val="none"/>
        </w:rPr>
        <w:t>Poder Legislativo</w:t>
      </w:r>
      <w:r w:rsidRPr="0085049E">
        <w:rPr>
          <w:rFonts w:ascii="Cambria" w:eastAsia="Times New Roman" w:hAnsi="Cambria" w:cs="Arial"/>
          <w:kern w:val="0"/>
          <w:sz w:val="26"/>
          <w:szCs w:val="26"/>
          <w:lang w:val="es-DO" w:eastAsia="es-DO"/>
          <w14:ligatures w14:val="none"/>
        </w:rPr>
        <w:t xml:space="preserve">, el más poderoso y representativo de los </w:t>
      </w:r>
      <w:r w:rsidR="00325373" w:rsidRPr="0085049E">
        <w:rPr>
          <w:rFonts w:ascii="Cambria" w:eastAsia="Times New Roman" w:hAnsi="Cambria" w:cs="Arial"/>
          <w:kern w:val="0"/>
          <w:sz w:val="26"/>
          <w:szCs w:val="26"/>
          <w:lang w:val="es-DO" w:eastAsia="es-DO"/>
          <w14:ligatures w14:val="none"/>
        </w:rPr>
        <w:t>Poderes Públicos</w:t>
      </w:r>
      <w:r w:rsidRPr="0085049E">
        <w:rPr>
          <w:rFonts w:ascii="Cambria" w:eastAsia="Times New Roman" w:hAnsi="Cambria" w:cs="Arial"/>
          <w:kern w:val="0"/>
          <w:sz w:val="26"/>
          <w:szCs w:val="26"/>
          <w:lang w:val="es-DO" w:eastAsia="es-DO"/>
          <w14:ligatures w14:val="none"/>
        </w:rPr>
        <w:t xml:space="preserve">, por lo menos </w:t>
      </w:r>
      <w:r w:rsidR="00A02E84" w:rsidRPr="0085049E">
        <w:rPr>
          <w:rFonts w:ascii="Cambria" w:eastAsia="Times New Roman" w:hAnsi="Cambria" w:cs="Arial"/>
          <w:kern w:val="0"/>
          <w:sz w:val="26"/>
          <w:szCs w:val="26"/>
          <w:lang w:val="es-DO" w:eastAsia="es-DO"/>
          <w14:ligatures w14:val="none"/>
        </w:rPr>
        <w:t>en</w:t>
      </w:r>
      <w:r w:rsidRPr="0085049E">
        <w:rPr>
          <w:rFonts w:ascii="Cambria" w:eastAsia="Times New Roman" w:hAnsi="Cambria" w:cs="Arial"/>
          <w:kern w:val="0"/>
          <w:sz w:val="26"/>
          <w:szCs w:val="26"/>
          <w:lang w:val="es-DO" w:eastAsia="es-DO"/>
          <w14:ligatures w14:val="none"/>
        </w:rPr>
        <w:t xml:space="preserve"> teoría y dada su amplia representatividad, estaría disponible, la capacidad para legislar apartándose del mandato constitucional y propósitos que limitativamente a nivel de reserva de ley le augura el </w:t>
      </w:r>
      <w:r w:rsidR="00A02E84" w:rsidRPr="0085049E">
        <w:rPr>
          <w:rFonts w:ascii="Cambria" w:eastAsia="Times New Roman" w:hAnsi="Cambria" w:cs="Arial"/>
          <w:kern w:val="0"/>
          <w:sz w:val="26"/>
          <w:szCs w:val="26"/>
          <w:lang w:val="es-DO" w:eastAsia="es-DO"/>
          <w14:ligatures w14:val="none"/>
        </w:rPr>
        <w:t>artículo</w:t>
      </w:r>
      <w:r w:rsidRPr="0085049E">
        <w:rPr>
          <w:rFonts w:ascii="Cambria" w:eastAsia="Times New Roman" w:hAnsi="Cambria" w:cs="Arial"/>
          <w:kern w:val="0"/>
          <w:sz w:val="26"/>
          <w:szCs w:val="26"/>
          <w:lang w:val="es-DO" w:eastAsia="es-DO"/>
          <w14:ligatures w14:val="none"/>
        </w:rPr>
        <w:t xml:space="preserve"> 214 de la constitución</w:t>
      </w:r>
      <w:r w:rsidR="00A02E84" w:rsidRPr="0085049E">
        <w:rPr>
          <w:rFonts w:ascii="Cambria" w:eastAsia="Times New Roman" w:hAnsi="Cambria" w:cs="Arial"/>
          <w:kern w:val="0"/>
          <w:sz w:val="26"/>
          <w:szCs w:val="26"/>
          <w:lang w:val="es-DO" w:eastAsia="es-DO"/>
          <w14:ligatures w14:val="none"/>
        </w:rPr>
        <w:t>, al disponer y citamos:</w:t>
      </w:r>
      <w:r w:rsidR="00185C44" w:rsidRPr="0085049E">
        <w:rPr>
          <w:rFonts w:ascii="Cambria" w:eastAsia="Times New Roman" w:hAnsi="Cambria" w:cs="Arial"/>
          <w:kern w:val="0"/>
          <w:sz w:val="26"/>
          <w:szCs w:val="26"/>
          <w:lang w:val="es-DO" w:eastAsia="es-DO"/>
          <w14:ligatures w14:val="none"/>
        </w:rPr>
        <w:t xml:space="preserve"> </w:t>
      </w:r>
      <w:r w:rsidR="00A02E84" w:rsidRPr="0085049E">
        <w:rPr>
          <w:rFonts w:ascii="Cambria" w:hAnsi="Cambria"/>
          <w:b/>
          <w:i/>
          <w:sz w:val="26"/>
          <w:szCs w:val="26"/>
          <w:u w:val="single"/>
        </w:rPr>
        <w:t>Tribunal Superior Electoral.</w:t>
      </w:r>
      <w:r w:rsidR="00A02E84" w:rsidRPr="0085049E">
        <w:rPr>
          <w:rFonts w:ascii="Cambria" w:hAnsi="Cambria"/>
          <w:i/>
          <w:sz w:val="26"/>
          <w:szCs w:val="26"/>
          <w:u w:val="single"/>
        </w:rPr>
        <w:t xml:space="preserve"> El Tribunal Superior Electoral es el órgano competente para juzgar y decidir con carácter definitivo sobre los asuntos contencioso electorales y estatuir sobre los diferendos que surjan a lo interno de los partidos, agrupaciones y movimientos políticos o </w:t>
      </w:r>
      <w:r w:rsidR="00A02E84" w:rsidRPr="0085049E">
        <w:rPr>
          <w:rFonts w:ascii="Cambria" w:hAnsi="Cambria"/>
          <w:i/>
          <w:sz w:val="26"/>
          <w:szCs w:val="26"/>
          <w:u w:val="single"/>
        </w:rPr>
        <w:lastRenderedPageBreak/>
        <w:t>entre éstos. Reglamentará, de conformidad con la ley, los procedimientos de su competencia y todo lo relativo a su organización y funcionamiento administrativo y financiero.</w:t>
      </w:r>
    </w:p>
    <w:p w14:paraId="29C859BC" w14:textId="77777777" w:rsidR="005F0756" w:rsidRPr="0085049E" w:rsidRDefault="005F0756" w:rsidP="0085049E">
      <w:pPr>
        <w:shd w:val="clear" w:color="auto" w:fill="FFFFFF"/>
        <w:spacing w:after="0" w:line="240" w:lineRule="atLeast"/>
        <w:jc w:val="both"/>
        <w:rPr>
          <w:rFonts w:ascii="Cambria" w:eastAsia="Times New Roman" w:hAnsi="Cambria" w:cs="Arial"/>
          <w:kern w:val="0"/>
          <w:sz w:val="26"/>
          <w:szCs w:val="26"/>
          <w:lang w:val="es-DO" w:eastAsia="es-DO"/>
          <w14:ligatures w14:val="none"/>
        </w:rPr>
      </w:pPr>
    </w:p>
    <w:p w14:paraId="5F5BB477" w14:textId="062A8F4E" w:rsidR="00092A97" w:rsidRPr="0085049E" w:rsidRDefault="005F0756" w:rsidP="0085049E">
      <w:pPr>
        <w:shd w:val="clear" w:color="auto" w:fill="FFFFFF"/>
        <w:spacing w:after="0" w:line="240" w:lineRule="atLeast"/>
        <w:jc w:val="both"/>
        <w:rPr>
          <w:rFonts w:ascii="Cambria" w:eastAsia="Times New Roman" w:hAnsi="Cambria" w:cs="Arial"/>
          <w:kern w:val="0"/>
          <w:sz w:val="26"/>
          <w:szCs w:val="26"/>
          <w:lang w:val="es-DO" w:eastAsia="es-DO"/>
          <w14:ligatures w14:val="none"/>
        </w:rPr>
      </w:pPr>
      <w:r w:rsidRPr="0085049E">
        <w:rPr>
          <w:rFonts w:ascii="Cambria" w:eastAsia="Times New Roman" w:hAnsi="Cambria" w:cs="Arial"/>
          <w:kern w:val="0"/>
          <w:sz w:val="26"/>
          <w:szCs w:val="26"/>
          <w:lang w:val="es-DO" w:eastAsia="es-DO"/>
          <w14:ligatures w14:val="none"/>
        </w:rPr>
        <w:t xml:space="preserve">Las entidades de sociedad civil aseguraron que </w:t>
      </w:r>
      <w:r w:rsidR="007F6B8D" w:rsidRPr="0085049E">
        <w:rPr>
          <w:rFonts w:ascii="Cambria" w:eastAsia="Times New Roman" w:hAnsi="Cambria" w:cs="Arial"/>
          <w:kern w:val="0"/>
          <w:sz w:val="26"/>
          <w:szCs w:val="26"/>
          <w:lang w:val="es-DO" w:eastAsia="es-DO"/>
          <w14:ligatures w14:val="none"/>
        </w:rPr>
        <w:t>el Tribunal Superior Electoral, es una justicia política, de excepción y especializada, estricta y exclusivamente para los temas de naturaleza democrática y electoral</w:t>
      </w:r>
      <w:r w:rsidR="00F705B2" w:rsidRPr="0085049E">
        <w:rPr>
          <w:rFonts w:ascii="Cambria" w:eastAsia="Times New Roman" w:hAnsi="Cambria" w:cs="Arial"/>
          <w:kern w:val="0"/>
          <w:sz w:val="26"/>
          <w:szCs w:val="26"/>
          <w:lang w:val="es-DO" w:eastAsia="es-DO"/>
          <w14:ligatures w14:val="none"/>
        </w:rPr>
        <w:t>,</w:t>
      </w:r>
      <w:r w:rsidR="007F6B8D" w:rsidRPr="0085049E">
        <w:rPr>
          <w:rFonts w:ascii="Cambria" w:eastAsia="Times New Roman" w:hAnsi="Cambria" w:cs="Arial"/>
          <w:kern w:val="0"/>
          <w:sz w:val="26"/>
          <w:szCs w:val="26"/>
          <w:lang w:val="es-DO" w:eastAsia="es-DO"/>
          <w14:ligatures w14:val="none"/>
        </w:rPr>
        <w:t xml:space="preserve"> </w:t>
      </w:r>
      <w:r w:rsidR="00296477" w:rsidRPr="0085049E">
        <w:rPr>
          <w:rFonts w:ascii="Cambria" w:eastAsia="Times New Roman" w:hAnsi="Cambria" w:cs="Arial"/>
          <w:kern w:val="0"/>
          <w:sz w:val="26"/>
          <w:szCs w:val="26"/>
          <w:lang w:val="es-DO" w:eastAsia="es-DO"/>
          <w14:ligatures w14:val="none"/>
        </w:rPr>
        <w:t xml:space="preserve">sobre todo en </w:t>
      </w:r>
      <w:r w:rsidR="007F6B8D" w:rsidRPr="0085049E">
        <w:rPr>
          <w:rFonts w:ascii="Cambria" w:eastAsia="Times New Roman" w:hAnsi="Cambria" w:cs="Arial"/>
          <w:kern w:val="0"/>
          <w:sz w:val="26"/>
          <w:szCs w:val="26"/>
          <w:lang w:val="es-DO" w:eastAsia="es-DO"/>
          <w14:ligatures w14:val="none"/>
        </w:rPr>
        <w:t xml:space="preserve">el marco de los poderes públicos y la constitución, nunca enfocada a lo privado, en </w:t>
      </w:r>
      <w:r w:rsidRPr="0085049E">
        <w:rPr>
          <w:rFonts w:ascii="Cambria" w:eastAsia="Times New Roman" w:hAnsi="Cambria" w:cs="Arial"/>
          <w:kern w:val="0"/>
          <w:sz w:val="26"/>
          <w:szCs w:val="26"/>
          <w:lang w:val="es-DO" w:eastAsia="es-DO"/>
          <w14:ligatures w14:val="none"/>
        </w:rPr>
        <w:t>consecuencia,</w:t>
      </w:r>
      <w:r w:rsidR="007F6B8D" w:rsidRPr="0085049E">
        <w:rPr>
          <w:rFonts w:ascii="Cambria" w:eastAsia="Times New Roman" w:hAnsi="Cambria" w:cs="Arial"/>
          <w:kern w:val="0"/>
          <w:sz w:val="26"/>
          <w:szCs w:val="26"/>
          <w:lang w:val="es-DO" w:eastAsia="es-DO"/>
          <w14:ligatures w14:val="none"/>
        </w:rPr>
        <w:t xml:space="preserve"> </w:t>
      </w:r>
      <w:r w:rsidR="00296477" w:rsidRPr="0085049E">
        <w:rPr>
          <w:rFonts w:ascii="Cambria" w:eastAsia="Times New Roman" w:hAnsi="Cambria" w:cs="Arial"/>
          <w:kern w:val="0"/>
          <w:sz w:val="26"/>
          <w:szCs w:val="26"/>
          <w:lang w:val="es-DO" w:eastAsia="es-DO"/>
          <w14:ligatures w14:val="none"/>
        </w:rPr>
        <w:t xml:space="preserve">asumir competencia de los gremios </w:t>
      </w:r>
      <w:r w:rsidRPr="0085049E">
        <w:rPr>
          <w:rFonts w:ascii="Cambria" w:eastAsia="Times New Roman" w:hAnsi="Cambria" w:cs="Arial"/>
          <w:kern w:val="0"/>
          <w:sz w:val="26"/>
          <w:szCs w:val="26"/>
          <w:lang w:val="es-DO" w:eastAsia="es-DO"/>
          <w14:ligatures w14:val="none"/>
        </w:rPr>
        <w:t xml:space="preserve">y otras asociaciones </w:t>
      </w:r>
      <w:r w:rsidR="00296477" w:rsidRPr="0085049E">
        <w:rPr>
          <w:rFonts w:ascii="Cambria" w:eastAsia="Times New Roman" w:hAnsi="Cambria" w:cs="Arial"/>
          <w:kern w:val="0"/>
          <w:sz w:val="26"/>
          <w:szCs w:val="26"/>
          <w:lang w:val="es-DO" w:eastAsia="es-DO"/>
          <w14:ligatures w14:val="none"/>
        </w:rPr>
        <w:t xml:space="preserve">sería un despropósito y </w:t>
      </w:r>
      <w:r w:rsidRPr="0085049E">
        <w:rPr>
          <w:rFonts w:ascii="Cambria" w:eastAsia="Times New Roman" w:hAnsi="Cambria" w:cs="Arial"/>
          <w:kern w:val="0"/>
          <w:sz w:val="26"/>
          <w:szCs w:val="26"/>
          <w:lang w:val="es-DO" w:eastAsia="es-DO"/>
          <w14:ligatures w14:val="none"/>
        </w:rPr>
        <w:t>desnaturalización</w:t>
      </w:r>
      <w:r w:rsidR="00296477" w:rsidRPr="0085049E">
        <w:rPr>
          <w:rFonts w:ascii="Cambria" w:eastAsia="Times New Roman" w:hAnsi="Cambria" w:cs="Arial"/>
          <w:kern w:val="0"/>
          <w:sz w:val="26"/>
          <w:szCs w:val="26"/>
          <w:lang w:val="es-DO" w:eastAsia="es-DO"/>
          <w14:ligatures w14:val="none"/>
        </w:rPr>
        <w:t xml:space="preserve"> de las </w:t>
      </w:r>
      <w:r w:rsidRPr="0085049E">
        <w:rPr>
          <w:rFonts w:ascii="Cambria" w:eastAsia="Times New Roman" w:hAnsi="Cambria" w:cs="Arial"/>
          <w:kern w:val="0"/>
          <w:sz w:val="26"/>
          <w:szCs w:val="26"/>
          <w:lang w:val="es-DO" w:eastAsia="es-DO"/>
          <w14:ligatures w14:val="none"/>
        </w:rPr>
        <w:t>funciones del TSE.</w:t>
      </w:r>
      <w:r w:rsidR="00296477" w:rsidRPr="0085049E">
        <w:rPr>
          <w:rFonts w:ascii="Cambria" w:eastAsia="Times New Roman" w:hAnsi="Cambria" w:cs="Arial"/>
          <w:kern w:val="0"/>
          <w:sz w:val="26"/>
          <w:szCs w:val="26"/>
          <w:lang w:val="es-DO" w:eastAsia="es-DO"/>
          <w14:ligatures w14:val="none"/>
        </w:rPr>
        <w:t xml:space="preserve"> </w:t>
      </w:r>
    </w:p>
    <w:p w14:paraId="5B32F125" w14:textId="77777777" w:rsidR="00092A97" w:rsidRPr="0085049E" w:rsidRDefault="00092A97" w:rsidP="0085049E">
      <w:pPr>
        <w:shd w:val="clear" w:color="auto" w:fill="FFFFFF"/>
        <w:spacing w:after="0" w:line="240" w:lineRule="atLeast"/>
        <w:jc w:val="both"/>
        <w:rPr>
          <w:rFonts w:ascii="Cambria" w:eastAsia="Times New Roman" w:hAnsi="Cambria" w:cs="Arial"/>
          <w:kern w:val="0"/>
          <w:sz w:val="26"/>
          <w:szCs w:val="26"/>
          <w:lang w:val="es-DO" w:eastAsia="es-DO"/>
          <w14:ligatures w14:val="none"/>
        </w:rPr>
      </w:pPr>
    </w:p>
    <w:p w14:paraId="35126646" w14:textId="5E3872AA" w:rsidR="00296477" w:rsidRPr="0085049E" w:rsidRDefault="00185C44" w:rsidP="0085049E">
      <w:pPr>
        <w:shd w:val="clear" w:color="auto" w:fill="FFFFFF"/>
        <w:spacing w:after="0" w:line="240" w:lineRule="atLeast"/>
        <w:jc w:val="both"/>
        <w:rPr>
          <w:rFonts w:ascii="Cambria" w:eastAsia="Times New Roman" w:hAnsi="Cambria" w:cs="Arial"/>
          <w:bCs/>
          <w:kern w:val="0"/>
          <w:sz w:val="26"/>
          <w:szCs w:val="26"/>
          <w:lang w:val="es-DO" w:eastAsia="es-DO"/>
          <w14:ligatures w14:val="none"/>
        </w:rPr>
      </w:pPr>
      <w:r w:rsidRPr="0085049E">
        <w:rPr>
          <w:rFonts w:ascii="Cambria" w:eastAsia="Times New Roman" w:hAnsi="Cambria" w:cs="Arial"/>
          <w:bCs/>
          <w:kern w:val="0"/>
          <w:sz w:val="26"/>
          <w:szCs w:val="26"/>
          <w:lang w:val="es-DO" w:eastAsia="es-DO"/>
          <w14:ligatures w14:val="none"/>
        </w:rPr>
        <w:t>E</w:t>
      </w:r>
      <w:r w:rsidR="00296477" w:rsidRPr="0085049E">
        <w:rPr>
          <w:rFonts w:ascii="Cambria" w:eastAsia="Times New Roman" w:hAnsi="Cambria" w:cs="Arial"/>
          <w:bCs/>
          <w:kern w:val="0"/>
          <w:sz w:val="26"/>
          <w:szCs w:val="26"/>
          <w:lang w:val="es-DO" w:eastAsia="es-DO"/>
          <w14:ligatures w14:val="none"/>
        </w:rPr>
        <w:t>staríamos en presencia de un precedente peligroso y antidemocrático para el estado de derecho, con la captura y cooptación del control político sobre los gremios</w:t>
      </w:r>
      <w:r w:rsidR="00F705B2" w:rsidRPr="0085049E">
        <w:rPr>
          <w:rFonts w:ascii="Cambria" w:eastAsia="Times New Roman" w:hAnsi="Cambria" w:cs="Arial"/>
          <w:bCs/>
          <w:kern w:val="0"/>
          <w:sz w:val="26"/>
          <w:szCs w:val="26"/>
          <w:lang w:val="es-DO" w:eastAsia="es-DO"/>
          <w14:ligatures w14:val="none"/>
        </w:rPr>
        <w:t>,</w:t>
      </w:r>
      <w:r w:rsidR="00296477" w:rsidRPr="0085049E">
        <w:rPr>
          <w:rFonts w:ascii="Cambria" w:eastAsia="Times New Roman" w:hAnsi="Cambria" w:cs="Arial"/>
          <w:bCs/>
          <w:kern w:val="0"/>
          <w:sz w:val="26"/>
          <w:szCs w:val="26"/>
          <w:lang w:val="es-DO" w:eastAsia="es-DO"/>
          <w14:ligatures w14:val="none"/>
        </w:rPr>
        <w:t xml:space="preserve"> en </w:t>
      </w:r>
      <w:r w:rsidR="006844D1" w:rsidRPr="0085049E">
        <w:rPr>
          <w:rFonts w:ascii="Cambria" w:eastAsia="Times New Roman" w:hAnsi="Cambria" w:cs="Arial"/>
          <w:bCs/>
          <w:kern w:val="0"/>
          <w:sz w:val="26"/>
          <w:szCs w:val="26"/>
          <w:lang w:val="es-DO" w:eastAsia="es-DO"/>
          <w14:ligatures w14:val="none"/>
        </w:rPr>
        <w:t xml:space="preserve">un </w:t>
      </w:r>
      <w:r w:rsidR="00296477" w:rsidRPr="0085049E">
        <w:rPr>
          <w:rFonts w:ascii="Cambria" w:eastAsia="Times New Roman" w:hAnsi="Cambria" w:cs="Arial"/>
          <w:bCs/>
          <w:kern w:val="0"/>
          <w:sz w:val="26"/>
          <w:szCs w:val="26"/>
          <w:lang w:val="es-DO" w:eastAsia="es-DO"/>
          <w14:ligatures w14:val="none"/>
        </w:rPr>
        <w:t>claro atentado a la libertad de asociación. De ahí que le hacemos un llamado a todas las asocia</w:t>
      </w:r>
      <w:r w:rsidR="00F705B2" w:rsidRPr="0085049E">
        <w:rPr>
          <w:rFonts w:ascii="Cambria" w:eastAsia="Times New Roman" w:hAnsi="Cambria" w:cs="Arial"/>
          <w:bCs/>
          <w:kern w:val="0"/>
          <w:sz w:val="26"/>
          <w:szCs w:val="26"/>
          <w:lang w:val="es-DO" w:eastAsia="es-DO"/>
          <w14:ligatures w14:val="none"/>
        </w:rPr>
        <w:t>ciones,</w:t>
      </w:r>
      <w:r w:rsidR="00296477" w:rsidRPr="0085049E">
        <w:rPr>
          <w:rFonts w:ascii="Cambria" w:eastAsia="Times New Roman" w:hAnsi="Cambria" w:cs="Arial"/>
          <w:bCs/>
          <w:kern w:val="0"/>
          <w:sz w:val="26"/>
          <w:szCs w:val="26"/>
          <w:lang w:val="es-DO" w:eastAsia="es-DO"/>
          <w14:ligatures w14:val="none"/>
        </w:rPr>
        <w:t xml:space="preserve"> </w:t>
      </w:r>
      <w:r w:rsidR="00DA094E">
        <w:rPr>
          <w:rFonts w:ascii="Cambria" w:eastAsia="Times New Roman" w:hAnsi="Cambria" w:cs="Arial"/>
          <w:bCs/>
          <w:kern w:val="0"/>
          <w:sz w:val="26"/>
          <w:szCs w:val="26"/>
          <w:lang w:val="es-DO" w:eastAsia="es-DO"/>
          <w14:ligatures w14:val="none"/>
        </w:rPr>
        <w:t>(</w:t>
      </w:r>
      <w:r w:rsidR="0091423E">
        <w:rPr>
          <w:rFonts w:ascii="Cambria" w:eastAsia="Times New Roman" w:hAnsi="Cambria" w:cs="Arial"/>
          <w:bCs/>
          <w:kern w:val="0"/>
          <w:sz w:val="26"/>
          <w:szCs w:val="26"/>
          <w:lang w:val="es-DO" w:eastAsia="es-DO"/>
          <w14:ligatures w14:val="none"/>
        </w:rPr>
        <w:t xml:space="preserve">Colegio Médico, Colegio </w:t>
      </w:r>
      <w:r w:rsidR="00DA094E">
        <w:rPr>
          <w:rFonts w:ascii="Cambria" w:eastAsia="Times New Roman" w:hAnsi="Cambria" w:cs="Arial"/>
          <w:bCs/>
          <w:kern w:val="0"/>
          <w:sz w:val="26"/>
          <w:szCs w:val="26"/>
          <w:lang w:val="es-DO" w:eastAsia="es-DO"/>
          <w14:ligatures w14:val="none"/>
        </w:rPr>
        <w:t xml:space="preserve">de </w:t>
      </w:r>
      <w:r w:rsidR="0091423E">
        <w:rPr>
          <w:rFonts w:ascii="Cambria" w:eastAsia="Times New Roman" w:hAnsi="Cambria" w:cs="Arial"/>
          <w:bCs/>
          <w:kern w:val="0"/>
          <w:sz w:val="26"/>
          <w:szCs w:val="26"/>
          <w:lang w:val="es-DO" w:eastAsia="es-DO"/>
          <w14:ligatures w14:val="none"/>
        </w:rPr>
        <w:t>Perio</w:t>
      </w:r>
      <w:r w:rsidR="00DA094E">
        <w:rPr>
          <w:rFonts w:ascii="Cambria" w:eastAsia="Times New Roman" w:hAnsi="Cambria" w:cs="Arial"/>
          <w:bCs/>
          <w:kern w:val="0"/>
          <w:sz w:val="26"/>
          <w:szCs w:val="26"/>
          <w:lang w:val="es-DO" w:eastAsia="es-DO"/>
          <w14:ligatures w14:val="none"/>
        </w:rPr>
        <w:t xml:space="preserve">dista y de </w:t>
      </w:r>
      <w:r w:rsidR="0091423E">
        <w:rPr>
          <w:rFonts w:ascii="Cambria" w:eastAsia="Times New Roman" w:hAnsi="Cambria" w:cs="Arial"/>
          <w:bCs/>
          <w:kern w:val="0"/>
          <w:sz w:val="26"/>
          <w:szCs w:val="26"/>
          <w:lang w:val="es-DO" w:eastAsia="es-DO"/>
          <w14:ligatures w14:val="none"/>
        </w:rPr>
        <w:t>Ingeni</w:t>
      </w:r>
      <w:r w:rsidR="00DA094E">
        <w:rPr>
          <w:rFonts w:ascii="Cambria" w:eastAsia="Times New Roman" w:hAnsi="Cambria" w:cs="Arial"/>
          <w:bCs/>
          <w:kern w:val="0"/>
          <w:sz w:val="26"/>
          <w:szCs w:val="26"/>
          <w:lang w:val="es-DO" w:eastAsia="es-DO"/>
          <w14:ligatures w14:val="none"/>
        </w:rPr>
        <w:t xml:space="preserve">eros, </w:t>
      </w:r>
      <w:r w:rsidR="0091423E">
        <w:rPr>
          <w:rFonts w:ascii="Cambria" w:eastAsia="Times New Roman" w:hAnsi="Cambria" w:cs="Arial"/>
          <w:bCs/>
          <w:kern w:val="0"/>
          <w:sz w:val="26"/>
          <w:szCs w:val="26"/>
          <w:lang w:val="es-DO" w:eastAsia="es-DO"/>
          <w14:ligatures w14:val="none"/>
        </w:rPr>
        <w:t xml:space="preserve">Asociación Dominicana </w:t>
      </w:r>
      <w:r w:rsidR="00DA094E">
        <w:rPr>
          <w:rFonts w:ascii="Cambria" w:eastAsia="Times New Roman" w:hAnsi="Cambria" w:cs="Arial"/>
          <w:bCs/>
          <w:kern w:val="0"/>
          <w:sz w:val="26"/>
          <w:szCs w:val="26"/>
          <w:lang w:val="es-DO" w:eastAsia="es-DO"/>
          <w14:ligatures w14:val="none"/>
        </w:rPr>
        <w:t xml:space="preserve">de </w:t>
      </w:r>
      <w:r w:rsidR="0091423E">
        <w:rPr>
          <w:rFonts w:ascii="Cambria" w:eastAsia="Times New Roman" w:hAnsi="Cambria" w:cs="Arial"/>
          <w:bCs/>
          <w:kern w:val="0"/>
          <w:sz w:val="26"/>
          <w:szCs w:val="26"/>
          <w:lang w:val="es-DO" w:eastAsia="es-DO"/>
          <w14:ligatures w14:val="none"/>
        </w:rPr>
        <w:t>Prof</w:t>
      </w:r>
      <w:r w:rsidR="00DA094E">
        <w:rPr>
          <w:rFonts w:ascii="Cambria" w:eastAsia="Times New Roman" w:hAnsi="Cambria" w:cs="Arial"/>
          <w:bCs/>
          <w:kern w:val="0"/>
          <w:sz w:val="26"/>
          <w:szCs w:val="26"/>
          <w:lang w:val="es-DO" w:eastAsia="es-DO"/>
          <w14:ligatures w14:val="none"/>
        </w:rPr>
        <w:t xml:space="preserve">esores, </w:t>
      </w:r>
      <w:r w:rsidR="0091423E">
        <w:rPr>
          <w:rFonts w:ascii="Cambria" w:eastAsia="Times New Roman" w:hAnsi="Cambria" w:cs="Arial"/>
          <w:bCs/>
          <w:kern w:val="0"/>
          <w:sz w:val="26"/>
          <w:szCs w:val="26"/>
          <w:lang w:val="es-DO" w:eastAsia="es-DO"/>
          <w14:ligatures w14:val="none"/>
        </w:rPr>
        <w:t xml:space="preserve">Asociaciones Empresariales y Organizaciones no Gubernamentales, Clubes y Juntas de Vecinos, </w:t>
      </w:r>
      <w:proofErr w:type="spellStart"/>
      <w:r w:rsidR="0091423E">
        <w:rPr>
          <w:rFonts w:ascii="Cambria" w:eastAsia="Times New Roman" w:hAnsi="Cambria" w:cs="Arial"/>
          <w:bCs/>
          <w:kern w:val="0"/>
          <w:sz w:val="26"/>
          <w:szCs w:val="26"/>
          <w:lang w:val="es-DO" w:eastAsia="es-DO"/>
          <w14:ligatures w14:val="none"/>
        </w:rPr>
        <w:t>etec</w:t>
      </w:r>
      <w:proofErr w:type="spellEnd"/>
      <w:r w:rsidR="0091423E">
        <w:rPr>
          <w:rFonts w:ascii="Cambria" w:eastAsia="Times New Roman" w:hAnsi="Cambria" w:cs="Arial"/>
          <w:bCs/>
          <w:kern w:val="0"/>
          <w:sz w:val="26"/>
          <w:szCs w:val="26"/>
          <w:lang w:val="es-DO" w:eastAsia="es-DO"/>
          <w14:ligatures w14:val="none"/>
        </w:rPr>
        <w:t>…</w:t>
      </w:r>
      <w:r w:rsidR="00DA094E">
        <w:rPr>
          <w:rFonts w:ascii="Cambria" w:eastAsia="Times New Roman" w:hAnsi="Cambria" w:cs="Arial"/>
          <w:bCs/>
          <w:kern w:val="0"/>
          <w:sz w:val="26"/>
          <w:szCs w:val="26"/>
          <w:lang w:val="es-DO" w:eastAsia="es-DO"/>
          <w14:ligatures w14:val="none"/>
        </w:rPr>
        <w:t>)</w:t>
      </w:r>
      <w:r w:rsidR="0091423E">
        <w:rPr>
          <w:rFonts w:ascii="Cambria" w:eastAsia="Times New Roman" w:hAnsi="Cambria" w:cs="Arial"/>
          <w:bCs/>
          <w:kern w:val="0"/>
          <w:sz w:val="26"/>
          <w:szCs w:val="26"/>
          <w:lang w:val="es-DO" w:eastAsia="es-DO"/>
          <w14:ligatures w14:val="none"/>
        </w:rPr>
        <w:t xml:space="preserve">, </w:t>
      </w:r>
      <w:r w:rsidR="00296477" w:rsidRPr="0085049E">
        <w:rPr>
          <w:rFonts w:ascii="Cambria" w:eastAsia="Times New Roman" w:hAnsi="Cambria" w:cs="Arial"/>
          <w:bCs/>
          <w:kern w:val="0"/>
          <w:sz w:val="26"/>
          <w:szCs w:val="26"/>
          <w:lang w:val="es-DO" w:eastAsia="es-DO"/>
          <w14:ligatures w14:val="none"/>
        </w:rPr>
        <w:t xml:space="preserve">a los fines de hacer causa común en un frente de resistencia para impedir </w:t>
      </w:r>
      <w:r w:rsidR="006844D1" w:rsidRPr="0085049E">
        <w:rPr>
          <w:rFonts w:ascii="Cambria" w:eastAsia="Times New Roman" w:hAnsi="Cambria" w:cs="Arial"/>
          <w:bCs/>
          <w:kern w:val="0"/>
          <w:sz w:val="26"/>
          <w:szCs w:val="26"/>
          <w:lang w:val="es-DO" w:eastAsia="es-DO"/>
          <w14:ligatures w14:val="none"/>
        </w:rPr>
        <w:t xml:space="preserve">y </w:t>
      </w:r>
      <w:r w:rsidR="00F705B2" w:rsidRPr="0085049E">
        <w:rPr>
          <w:rFonts w:ascii="Cambria" w:eastAsia="Times New Roman" w:hAnsi="Cambria" w:cs="Arial"/>
          <w:bCs/>
          <w:kern w:val="0"/>
          <w:sz w:val="26"/>
          <w:szCs w:val="26"/>
          <w:lang w:val="es-DO" w:eastAsia="es-DO"/>
          <w14:ligatures w14:val="none"/>
        </w:rPr>
        <w:t xml:space="preserve">exigir respeto a la </w:t>
      </w:r>
      <w:r w:rsidRPr="0085049E">
        <w:rPr>
          <w:rFonts w:ascii="Cambria" w:eastAsia="Times New Roman" w:hAnsi="Cambria" w:cs="Arial"/>
          <w:bCs/>
          <w:kern w:val="0"/>
          <w:sz w:val="26"/>
          <w:szCs w:val="26"/>
          <w:lang w:val="es-DO" w:eastAsia="es-DO"/>
          <w14:ligatures w14:val="none"/>
        </w:rPr>
        <w:t>Constit</w:t>
      </w:r>
      <w:r w:rsidR="00F705B2" w:rsidRPr="0085049E">
        <w:rPr>
          <w:rFonts w:ascii="Cambria" w:eastAsia="Times New Roman" w:hAnsi="Cambria" w:cs="Arial"/>
          <w:bCs/>
          <w:kern w:val="0"/>
          <w:sz w:val="26"/>
          <w:szCs w:val="26"/>
          <w:lang w:val="es-DO" w:eastAsia="es-DO"/>
          <w14:ligatures w14:val="none"/>
        </w:rPr>
        <w:t>ución y a las decisiones del Tribunal Constitucional.</w:t>
      </w:r>
    </w:p>
    <w:p w14:paraId="667B0EBC" w14:textId="77777777" w:rsidR="00296477" w:rsidRPr="0085049E" w:rsidRDefault="00296477" w:rsidP="0085049E">
      <w:pPr>
        <w:shd w:val="clear" w:color="auto" w:fill="FFFFFF"/>
        <w:spacing w:after="0" w:line="240" w:lineRule="atLeast"/>
        <w:jc w:val="both"/>
        <w:rPr>
          <w:rFonts w:ascii="Cambria" w:eastAsia="Times New Roman" w:hAnsi="Cambria" w:cs="Arial"/>
          <w:b/>
          <w:bCs/>
          <w:kern w:val="0"/>
          <w:sz w:val="26"/>
          <w:szCs w:val="26"/>
          <w:lang w:val="es-DO" w:eastAsia="es-DO"/>
          <w14:ligatures w14:val="none"/>
        </w:rPr>
      </w:pPr>
    </w:p>
    <w:p w14:paraId="43EFFFD5" w14:textId="2F4CC92C" w:rsidR="00CB1A05" w:rsidRPr="0085049E" w:rsidRDefault="00092A97" w:rsidP="0085049E">
      <w:pPr>
        <w:shd w:val="clear" w:color="auto" w:fill="FFFFFF"/>
        <w:spacing w:after="0" w:line="240" w:lineRule="atLeast"/>
        <w:jc w:val="both"/>
        <w:rPr>
          <w:rFonts w:ascii="Cambria" w:eastAsia="Times New Roman" w:hAnsi="Cambria" w:cs="Arial"/>
          <w:kern w:val="0"/>
          <w:sz w:val="26"/>
          <w:szCs w:val="26"/>
          <w:lang w:val="es-DO" w:eastAsia="es-DO"/>
          <w14:ligatures w14:val="none"/>
        </w:rPr>
      </w:pPr>
      <w:r w:rsidRPr="0085049E">
        <w:rPr>
          <w:rFonts w:ascii="Cambria" w:eastAsia="Times New Roman" w:hAnsi="Cambria" w:cs="Arial"/>
          <w:kern w:val="0"/>
          <w:sz w:val="26"/>
          <w:szCs w:val="26"/>
          <w:lang w:val="es-DO" w:eastAsia="es-DO"/>
          <w14:ligatures w14:val="none"/>
        </w:rPr>
        <w:t xml:space="preserve">Asimismo, </w:t>
      </w:r>
      <w:r w:rsidR="001C51B8" w:rsidRPr="0085049E">
        <w:rPr>
          <w:rFonts w:ascii="Cambria" w:eastAsia="Times New Roman" w:hAnsi="Cambria" w:cs="Arial"/>
          <w:kern w:val="0"/>
          <w:sz w:val="26"/>
          <w:szCs w:val="26"/>
          <w:lang w:val="es-DO" w:eastAsia="es-DO"/>
          <w14:ligatures w14:val="none"/>
        </w:rPr>
        <w:t>reiter</w:t>
      </w:r>
      <w:r w:rsidR="005F0756" w:rsidRPr="0085049E">
        <w:rPr>
          <w:rFonts w:ascii="Cambria" w:eastAsia="Times New Roman" w:hAnsi="Cambria" w:cs="Arial"/>
          <w:kern w:val="0"/>
          <w:sz w:val="26"/>
          <w:szCs w:val="26"/>
          <w:lang w:val="es-DO" w:eastAsia="es-DO"/>
          <w14:ligatures w14:val="none"/>
        </w:rPr>
        <w:t>aron</w:t>
      </w:r>
      <w:r w:rsidR="00C6259B" w:rsidRPr="0085049E">
        <w:rPr>
          <w:rFonts w:ascii="Cambria" w:eastAsia="Times New Roman" w:hAnsi="Cambria" w:cs="Arial"/>
          <w:kern w:val="0"/>
          <w:sz w:val="26"/>
          <w:szCs w:val="26"/>
          <w:lang w:val="es-DO" w:eastAsia="es-DO"/>
          <w14:ligatures w14:val="none"/>
        </w:rPr>
        <w:t xml:space="preserve"> que se trata de una violación a la constitución y a </w:t>
      </w:r>
      <w:r w:rsidR="001017CA" w:rsidRPr="0085049E">
        <w:rPr>
          <w:rFonts w:ascii="Cambria" w:eastAsia="Times New Roman" w:hAnsi="Cambria" w:cs="Arial"/>
          <w:kern w:val="0"/>
          <w:sz w:val="26"/>
          <w:szCs w:val="26"/>
          <w:lang w:val="es-DO" w:eastAsia="es-DO"/>
          <w14:ligatures w14:val="none"/>
        </w:rPr>
        <w:t>precedentes</w:t>
      </w:r>
      <w:r w:rsidR="00C6259B" w:rsidRPr="0085049E">
        <w:rPr>
          <w:rFonts w:ascii="Cambria" w:eastAsia="Times New Roman" w:hAnsi="Cambria" w:cs="Arial"/>
          <w:kern w:val="0"/>
          <w:sz w:val="26"/>
          <w:szCs w:val="26"/>
          <w:lang w:val="es-DO" w:eastAsia="es-DO"/>
          <w14:ligatures w14:val="none"/>
        </w:rPr>
        <w:t xml:space="preserve"> del Tribunal Constitucional</w:t>
      </w:r>
      <w:r w:rsidR="006844D1" w:rsidRPr="0085049E">
        <w:rPr>
          <w:rFonts w:ascii="Cambria" w:eastAsia="Times New Roman" w:hAnsi="Cambria" w:cs="Arial"/>
          <w:kern w:val="0"/>
          <w:sz w:val="26"/>
          <w:szCs w:val="26"/>
          <w:lang w:val="es-DO" w:eastAsia="es-DO"/>
          <w14:ligatures w14:val="none"/>
        </w:rPr>
        <w:t xml:space="preserve"> (TC)</w:t>
      </w:r>
      <w:r w:rsidR="00C6259B" w:rsidRPr="0085049E">
        <w:rPr>
          <w:rFonts w:ascii="Cambria" w:eastAsia="Times New Roman" w:hAnsi="Cambria" w:cs="Arial"/>
          <w:kern w:val="0"/>
          <w:sz w:val="26"/>
          <w:szCs w:val="26"/>
          <w:lang w:val="es-DO" w:eastAsia="es-DO"/>
          <w14:ligatures w14:val="none"/>
        </w:rPr>
        <w:t xml:space="preserve">, </w:t>
      </w:r>
      <w:r w:rsidR="00933543" w:rsidRPr="0085049E">
        <w:rPr>
          <w:rFonts w:ascii="Cambria" w:eastAsia="Times New Roman" w:hAnsi="Cambria" w:cs="Arial"/>
          <w:kern w:val="0"/>
          <w:sz w:val="26"/>
          <w:szCs w:val="26"/>
          <w:lang w:val="es-DO" w:eastAsia="es-DO"/>
          <w14:ligatures w14:val="none"/>
        </w:rPr>
        <w:t xml:space="preserve">donde citamos entre otras tantas </w:t>
      </w:r>
      <w:r w:rsidR="00C6259B" w:rsidRPr="0085049E">
        <w:rPr>
          <w:rFonts w:ascii="Cambria" w:eastAsia="Times New Roman" w:hAnsi="Cambria" w:cs="Arial"/>
          <w:kern w:val="0"/>
          <w:sz w:val="26"/>
          <w:szCs w:val="26"/>
          <w:lang w:val="es-DO" w:eastAsia="es-DO"/>
          <w14:ligatures w14:val="none"/>
        </w:rPr>
        <w:t xml:space="preserve">la decisión del </w:t>
      </w:r>
      <w:r w:rsidR="00185C44" w:rsidRPr="0085049E">
        <w:rPr>
          <w:rFonts w:ascii="Cambria" w:eastAsia="Times New Roman" w:hAnsi="Cambria" w:cs="Arial"/>
          <w:kern w:val="0"/>
          <w:sz w:val="26"/>
          <w:szCs w:val="26"/>
          <w:lang w:val="es-DO" w:eastAsia="es-DO"/>
          <w14:ligatures w14:val="none"/>
        </w:rPr>
        <w:t>último</w:t>
      </w:r>
      <w:r w:rsidR="00C6259B" w:rsidRPr="0085049E">
        <w:rPr>
          <w:rFonts w:ascii="Cambria" w:eastAsia="Times New Roman" w:hAnsi="Cambria" w:cs="Arial"/>
          <w:kern w:val="0"/>
          <w:sz w:val="26"/>
          <w:szCs w:val="26"/>
          <w:lang w:val="es-DO" w:eastAsia="es-DO"/>
          <w14:ligatures w14:val="none"/>
        </w:rPr>
        <w:t xml:space="preserve"> interprete de</w:t>
      </w:r>
      <w:r w:rsidR="001C51B8" w:rsidRPr="0085049E">
        <w:rPr>
          <w:rFonts w:ascii="Cambria" w:eastAsia="Times New Roman" w:hAnsi="Cambria" w:cs="Arial"/>
          <w:kern w:val="0"/>
          <w:sz w:val="26"/>
          <w:szCs w:val="26"/>
          <w:lang w:val="es-DO" w:eastAsia="es-DO"/>
          <w14:ligatures w14:val="none"/>
        </w:rPr>
        <w:t xml:space="preserve"> </w:t>
      </w:r>
      <w:r w:rsidR="00C6259B" w:rsidRPr="0085049E">
        <w:rPr>
          <w:rFonts w:ascii="Cambria" w:eastAsia="Times New Roman" w:hAnsi="Cambria" w:cs="Arial"/>
          <w:kern w:val="0"/>
          <w:sz w:val="26"/>
          <w:szCs w:val="26"/>
          <w:lang w:val="es-DO" w:eastAsia="es-DO"/>
          <w14:ligatures w14:val="none"/>
        </w:rPr>
        <w:t xml:space="preserve">la constitución, cuando </w:t>
      </w:r>
      <w:r w:rsidR="001C51B8" w:rsidRPr="0085049E">
        <w:rPr>
          <w:rFonts w:ascii="Cambria" w:eastAsia="Times New Roman" w:hAnsi="Cambria" w:cs="Arial"/>
          <w:kern w:val="0"/>
          <w:sz w:val="26"/>
          <w:szCs w:val="26"/>
          <w:lang w:val="es-DO" w:eastAsia="es-DO"/>
          <w14:ligatures w14:val="none"/>
        </w:rPr>
        <w:t xml:space="preserve">en </w:t>
      </w:r>
      <w:r w:rsidR="00C6259B" w:rsidRPr="0085049E">
        <w:rPr>
          <w:rFonts w:ascii="Cambria" w:eastAsia="Times New Roman" w:hAnsi="Cambria" w:cs="Arial"/>
          <w:kern w:val="0"/>
          <w:sz w:val="26"/>
          <w:szCs w:val="26"/>
          <w:lang w:val="es-DO" w:eastAsia="es-DO"/>
          <w14:ligatures w14:val="none"/>
        </w:rPr>
        <w:t xml:space="preserve">el 2021 </w:t>
      </w:r>
      <w:r w:rsidR="00933543" w:rsidRPr="0085049E">
        <w:rPr>
          <w:rFonts w:ascii="Cambria" w:eastAsia="Times New Roman" w:hAnsi="Cambria" w:cs="Arial"/>
          <w:kern w:val="0"/>
          <w:sz w:val="26"/>
          <w:szCs w:val="26"/>
          <w:lang w:val="es-DO" w:eastAsia="es-DO"/>
          <w14:ligatures w14:val="none"/>
        </w:rPr>
        <w:t>por sentencia (</w:t>
      </w:r>
      <w:r w:rsidR="00933543" w:rsidRPr="0085049E">
        <w:rPr>
          <w:rFonts w:ascii="Times New Roman" w:eastAsia="Times New Roman" w:hAnsi="Times New Roman"/>
          <w:b/>
          <w:sz w:val="26"/>
          <w:szCs w:val="26"/>
        </w:rPr>
        <w:t>TC/0508/21</w:t>
      </w:r>
      <w:r w:rsidR="00933543" w:rsidRPr="0085049E">
        <w:rPr>
          <w:rFonts w:ascii="Cambria" w:eastAsia="Times New Roman" w:hAnsi="Cambria" w:cs="Arial"/>
          <w:kern w:val="0"/>
          <w:sz w:val="26"/>
          <w:szCs w:val="26"/>
          <w:lang w:val="es-DO" w:eastAsia="es-DO"/>
          <w14:ligatures w14:val="none"/>
        </w:rPr>
        <w:t>).</w:t>
      </w:r>
      <w:r w:rsidR="00C6259B" w:rsidRPr="0085049E">
        <w:rPr>
          <w:rFonts w:ascii="Cambria" w:eastAsia="Times New Roman" w:hAnsi="Cambria" w:cs="Arial"/>
          <w:kern w:val="0"/>
          <w:sz w:val="26"/>
          <w:szCs w:val="26"/>
          <w:lang w:val="es-DO" w:eastAsia="es-DO"/>
          <w14:ligatures w14:val="none"/>
        </w:rPr>
        <w:t>declaro inconstitucional las competencias</w:t>
      </w:r>
      <w:r w:rsidR="001C51B8" w:rsidRPr="0085049E">
        <w:rPr>
          <w:rFonts w:ascii="Cambria" w:eastAsia="Times New Roman" w:hAnsi="Cambria" w:cs="Arial"/>
          <w:kern w:val="0"/>
          <w:sz w:val="26"/>
          <w:szCs w:val="26"/>
          <w:lang w:val="es-DO" w:eastAsia="es-DO"/>
          <w14:ligatures w14:val="none"/>
        </w:rPr>
        <w:t>,</w:t>
      </w:r>
      <w:r w:rsidR="00C6259B" w:rsidRPr="0085049E">
        <w:rPr>
          <w:rFonts w:ascii="Cambria" w:eastAsia="Times New Roman" w:hAnsi="Cambria" w:cs="Arial"/>
          <w:kern w:val="0"/>
          <w:sz w:val="26"/>
          <w:szCs w:val="26"/>
          <w:lang w:val="es-DO" w:eastAsia="es-DO"/>
          <w14:ligatures w14:val="none"/>
        </w:rPr>
        <w:t xml:space="preserve"> que el legislador </w:t>
      </w:r>
      <w:r w:rsidR="001017CA" w:rsidRPr="0085049E">
        <w:rPr>
          <w:rFonts w:ascii="Cambria" w:eastAsia="Times New Roman" w:hAnsi="Cambria" w:cs="Arial"/>
          <w:kern w:val="0"/>
          <w:sz w:val="26"/>
          <w:szCs w:val="26"/>
          <w:lang w:val="es-DO" w:eastAsia="es-DO"/>
          <w14:ligatures w14:val="none"/>
        </w:rPr>
        <w:t>en todas las leyes electorales le</w:t>
      </w:r>
      <w:r w:rsidR="00C6259B" w:rsidRPr="0085049E">
        <w:rPr>
          <w:rFonts w:ascii="Cambria" w:eastAsia="Times New Roman" w:hAnsi="Cambria" w:cs="Arial"/>
          <w:kern w:val="0"/>
          <w:sz w:val="26"/>
          <w:szCs w:val="26"/>
          <w:lang w:val="es-DO" w:eastAsia="es-DO"/>
          <w14:ligatures w14:val="none"/>
        </w:rPr>
        <w:t xml:space="preserve"> había conferido al </w:t>
      </w:r>
      <w:r w:rsidR="001C51B8" w:rsidRPr="0085049E">
        <w:rPr>
          <w:rFonts w:ascii="Cambria" w:eastAsia="Times New Roman" w:hAnsi="Cambria" w:cs="Arial"/>
          <w:kern w:val="0"/>
          <w:sz w:val="26"/>
          <w:szCs w:val="26"/>
          <w:lang w:val="es-DO" w:eastAsia="es-DO"/>
          <w14:ligatures w14:val="none"/>
        </w:rPr>
        <w:t xml:space="preserve">Tribunal Superior Electoral, </w:t>
      </w:r>
      <w:r w:rsidR="00C6259B" w:rsidRPr="0085049E">
        <w:rPr>
          <w:rFonts w:ascii="Cambria" w:eastAsia="Times New Roman" w:hAnsi="Cambria" w:cs="Arial"/>
          <w:kern w:val="0"/>
          <w:sz w:val="26"/>
          <w:szCs w:val="26"/>
          <w:lang w:val="es-DO" w:eastAsia="es-DO"/>
          <w14:ligatures w14:val="none"/>
        </w:rPr>
        <w:t xml:space="preserve">al dotarles respetivamente su ley </w:t>
      </w:r>
      <w:r w:rsidR="001C51B8" w:rsidRPr="0085049E">
        <w:rPr>
          <w:rFonts w:ascii="Cambria" w:eastAsia="Times New Roman" w:hAnsi="Cambria" w:cs="Arial"/>
          <w:kern w:val="0"/>
          <w:sz w:val="26"/>
          <w:szCs w:val="26"/>
          <w:lang w:val="es-DO" w:eastAsia="es-DO"/>
          <w14:ligatures w14:val="none"/>
        </w:rPr>
        <w:t>orgánica</w:t>
      </w:r>
      <w:r w:rsidR="00C6259B" w:rsidRPr="0085049E">
        <w:rPr>
          <w:rFonts w:ascii="Cambria" w:eastAsia="Times New Roman" w:hAnsi="Cambria" w:cs="Arial"/>
          <w:kern w:val="0"/>
          <w:sz w:val="26"/>
          <w:szCs w:val="26"/>
          <w:lang w:val="es-DO" w:eastAsia="es-DO"/>
          <w14:ligatures w14:val="none"/>
        </w:rPr>
        <w:t xml:space="preserve">, la de </w:t>
      </w:r>
      <w:r w:rsidR="006844D1" w:rsidRPr="0085049E">
        <w:rPr>
          <w:rFonts w:ascii="Cambria" w:eastAsia="Times New Roman" w:hAnsi="Cambria" w:cs="Arial"/>
          <w:kern w:val="0"/>
          <w:sz w:val="26"/>
          <w:szCs w:val="26"/>
          <w:lang w:val="es-DO" w:eastAsia="es-DO"/>
          <w14:ligatures w14:val="none"/>
        </w:rPr>
        <w:t xml:space="preserve">Régimen Electoral </w:t>
      </w:r>
      <w:r w:rsidR="00C6259B" w:rsidRPr="0085049E">
        <w:rPr>
          <w:rFonts w:ascii="Cambria" w:eastAsia="Times New Roman" w:hAnsi="Cambria" w:cs="Arial"/>
          <w:kern w:val="0"/>
          <w:sz w:val="26"/>
          <w:szCs w:val="26"/>
          <w:lang w:val="es-DO" w:eastAsia="es-DO"/>
          <w14:ligatures w14:val="none"/>
        </w:rPr>
        <w:t xml:space="preserve">y la </w:t>
      </w:r>
      <w:r w:rsidR="006844D1" w:rsidRPr="0085049E">
        <w:rPr>
          <w:rFonts w:ascii="Cambria" w:eastAsia="Times New Roman" w:hAnsi="Cambria" w:cs="Arial"/>
          <w:kern w:val="0"/>
          <w:sz w:val="26"/>
          <w:szCs w:val="26"/>
          <w:lang w:val="es-DO" w:eastAsia="es-DO"/>
          <w14:ligatures w14:val="none"/>
        </w:rPr>
        <w:t xml:space="preserve">Partido Políticos, </w:t>
      </w:r>
      <w:r w:rsidR="00C6259B" w:rsidRPr="0085049E">
        <w:rPr>
          <w:rFonts w:ascii="Cambria" w:eastAsia="Times New Roman" w:hAnsi="Cambria" w:cs="Arial"/>
          <w:kern w:val="0"/>
          <w:sz w:val="26"/>
          <w:szCs w:val="26"/>
          <w:lang w:val="es-DO" w:eastAsia="es-DO"/>
          <w14:ligatures w14:val="none"/>
        </w:rPr>
        <w:t xml:space="preserve">de la facultad de </w:t>
      </w:r>
      <w:r w:rsidR="001C51B8" w:rsidRPr="0085049E">
        <w:rPr>
          <w:rFonts w:ascii="Cambria" w:eastAsia="Times New Roman" w:hAnsi="Cambria" w:cs="Arial"/>
          <w:kern w:val="0"/>
          <w:sz w:val="26"/>
          <w:szCs w:val="26"/>
          <w:lang w:val="es-DO" w:eastAsia="es-DO"/>
          <w14:ligatures w14:val="none"/>
        </w:rPr>
        <w:t>juzgar</w:t>
      </w:r>
      <w:r w:rsidR="00C6259B" w:rsidRPr="0085049E">
        <w:rPr>
          <w:rFonts w:ascii="Cambria" w:eastAsia="Times New Roman" w:hAnsi="Cambria" w:cs="Arial"/>
          <w:kern w:val="0"/>
          <w:sz w:val="26"/>
          <w:szCs w:val="26"/>
          <w:lang w:val="es-DO" w:eastAsia="es-DO"/>
          <w14:ligatures w14:val="none"/>
        </w:rPr>
        <w:t xml:space="preserve"> los delitos electorales, algo como </w:t>
      </w:r>
      <w:r w:rsidR="008E77F2" w:rsidRPr="0085049E">
        <w:rPr>
          <w:rFonts w:ascii="Cambria" w:eastAsia="Times New Roman" w:hAnsi="Cambria" w:cs="Arial"/>
          <w:kern w:val="0"/>
          <w:sz w:val="26"/>
          <w:szCs w:val="26"/>
          <w:lang w:val="es-DO" w:eastAsia="es-DO"/>
          <w14:ligatures w14:val="none"/>
        </w:rPr>
        <w:t>explicó</w:t>
      </w:r>
      <w:r w:rsidR="006844D1" w:rsidRPr="0085049E">
        <w:rPr>
          <w:rFonts w:ascii="Cambria" w:eastAsia="Times New Roman" w:hAnsi="Cambria" w:cs="Arial"/>
          <w:kern w:val="0"/>
          <w:sz w:val="26"/>
          <w:szCs w:val="26"/>
          <w:lang w:val="es-DO" w:eastAsia="es-DO"/>
          <w14:ligatures w14:val="none"/>
        </w:rPr>
        <w:t xml:space="preserve"> en su oportunidad el TC, </w:t>
      </w:r>
      <w:r w:rsidR="00C6259B" w:rsidRPr="0085049E">
        <w:rPr>
          <w:rFonts w:ascii="Cambria" w:eastAsia="Times New Roman" w:hAnsi="Cambria" w:cs="Arial"/>
          <w:kern w:val="0"/>
          <w:sz w:val="26"/>
          <w:szCs w:val="26"/>
          <w:lang w:val="es-DO" w:eastAsia="es-DO"/>
          <w14:ligatures w14:val="none"/>
        </w:rPr>
        <w:t xml:space="preserve">ajeno a sus </w:t>
      </w:r>
      <w:r w:rsidR="006844D1" w:rsidRPr="0085049E">
        <w:rPr>
          <w:rFonts w:ascii="Cambria" w:eastAsia="Times New Roman" w:hAnsi="Cambria" w:cs="Arial"/>
          <w:kern w:val="0"/>
          <w:sz w:val="26"/>
          <w:szCs w:val="26"/>
          <w:lang w:val="es-DO" w:eastAsia="es-DO"/>
          <w14:ligatures w14:val="none"/>
        </w:rPr>
        <w:t>facultades</w:t>
      </w:r>
      <w:r w:rsidR="001017CA" w:rsidRPr="0085049E">
        <w:rPr>
          <w:rFonts w:ascii="Cambria" w:eastAsia="Times New Roman" w:hAnsi="Cambria" w:cs="Arial"/>
          <w:kern w:val="0"/>
          <w:sz w:val="26"/>
          <w:szCs w:val="26"/>
          <w:lang w:val="es-DO" w:eastAsia="es-DO"/>
          <w14:ligatures w14:val="none"/>
        </w:rPr>
        <w:t xml:space="preserve">, en el entendido de que tenían que ceñirse a los criterios y pautas del </w:t>
      </w:r>
      <w:r w:rsidR="006F3908" w:rsidRPr="0085049E">
        <w:rPr>
          <w:rFonts w:ascii="Cambria" w:eastAsia="Times New Roman" w:hAnsi="Cambria" w:cs="Arial"/>
          <w:kern w:val="0"/>
          <w:sz w:val="26"/>
          <w:szCs w:val="26"/>
          <w:lang w:val="es-DO" w:eastAsia="es-DO"/>
          <w14:ligatures w14:val="none"/>
        </w:rPr>
        <w:t>Artículo</w:t>
      </w:r>
      <w:r w:rsidR="001017CA" w:rsidRPr="0085049E">
        <w:rPr>
          <w:rFonts w:ascii="Cambria" w:eastAsia="Times New Roman" w:hAnsi="Cambria" w:cs="Arial"/>
          <w:kern w:val="0"/>
          <w:sz w:val="26"/>
          <w:szCs w:val="26"/>
          <w:lang w:val="es-DO" w:eastAsia="es-DO"/>
          <w14:ligatures w14:val="none"/>
        </w:rPr>
        <w:t xml:space="preserve"> 214 de la constitución.</w:t>
      </w:r>
    </w:p>
    <w:p w14:paraId="54B2AF2D" w14:textId="77777777" w:rsidR="00CB1A05" w:rsidRPr="0085049E" w:rsidRDefault="00CB1A05" w:rsidP="0085049E">
      <w:pPr>
        <w:shd w:val="clear" w:color="auto" w:fill="FFFFFF"/>
        <w:spacing w:after="0" w:line="240" w:lineRule="atLeast"/>
        <w:jc w:val="both"/>
        <w:rPr>
          <w:rFonts w:ascii="Cambria" w:eastAsia="Times New Roman" w:hAnsi="Cambria" w:cs="Arial"/>
          <w:kern w:val="0"/>
          <w:sz w:val="26"/>
          <w:szCs w:val="26"/>
          <w:lang w:val="es-DO" w:eastAsia="es-DO"/>
          <w14:ligatures w14:val="none"/>
        </w:rPr>
      </w:pPr>
    </w:p>
    <w:p w14:paraId="1B533DC2" w14:textId="73AA4A4A" w:rsidR="007079F5" w:rsidRPr="0085049E" w:rsidRDefault="00AB1991" w:rsidP="0085049E">
      <w:pPr>
        <w:shd w:val="clear" w:color="auto" w:fill="FFFFFF"/>
        <w:spacing w:after="0" w:line="240" w:lineRule="atLeast"/>
        <w:jc w:val="both"/>
        <w:rPr>
          <w:rFonts w:ascii="Times New Roman" w:eastAsia="Times New Roman" w:hAnsi="Times New Roman"/>
          <w:i/>
          <w:sz w:val="26"/>
          <w:szCs w:val="26"/>
        </w:rPr>
      </w:pPr>
      <w:r w:rsidRPr="0085049E">
        <w:rPr>
          <w:rFonts w:ascii="Cambria" w:eastAsia="Times New Roman" w:hAnsi="Cambria" w:cs="Arial"/>
          <w:b/>
          <w:i/>
          <w:kern w:val="0"/>
          <w:sz w:val="26"/>
          <w:szCs w:val="26"/>
          <w:lang w:val="es-DO" w:eastAsia="es-DO"/>
          <w14:ligatures w14:val="none"/>
        </w:rPr>
        <w:t xml:space="preserve">En esa misma línea la referida sentencia establece </w:t>
      </w:r>
      <w:r w:rsidR="00CB1A05" w:rsidRPr="0085049E">
        <w:rPr>
          <w:rFonts w:ascii="Cambria" w:eastAsia="Times New Roman" w:hAnsi="Cambria" w:cs="Arial"/>
          <w:b/>
          <w:i/>
          <w:kern w:val="0"/>
          <w:sz w:val="26"/>
          <w:szCs w:val="26"/>
          <w:lang w:val="es-DO" w:eastAsia="es-DO"/>
          <w14:ligatures w14:val="none"/>
        </w:rPr>
        <w:t xml:space="preserve">(Cita textual </w:t>
      </w:r>
      <w:r w:rsidR="00CB1A05" w:rsidRPr="0085049E">
        <w:rPr>
          <w:rFonts w:ascii="Times New Roman" w:eastAsia="Times New Roman" w:hAnsi="Times New Roman"/>
          <w:b/>
          <w:i/>
          <w:sz w:val="26"/>
          <w:szCs w:val="26"/>
        </w:rPr>
        <w:t>TC/0508/21).</w:t>
      </w:r>
      <w:r w:rsidR="008E77F2" w:rsidRPr="0085049E">
        <w:rPr>
          <w:rFonts w:ascii="Cambria" w:eastAsia="Times New Roman" w:hAnsi="Cambria"/>
          <w:b/>
          <w:i/>
          <w:sz w:val="26"/>
          <w:szCs w:val="26"/>
        </w:rPr>
        <w:t>12.1.19.</w:t>
      </w:r>
      <w:r w:rsidR="008E77F2" w:rsidRPr="0085049E">
        <w:rPr>
          <w:rFonts w:ascii="Cambria" w:eastAsia="Times New Roman" w:hAnsi="Cambria"/>
          <w:i/>
          <w:sz w:val="26"/>
          <w:szCs w:val="26"/>
        </w:rPr>
        <w:t xml:space="preserve"> Cabe precisar que las competencias asignadas al órgano de justicia electoral están referidas a la materia que la propia Constitución delimitó en el citado artículo 214 de la Constitución, sin remisión para ser ampliadas por el legislador. La competencia material de un órgano constitucional es también concreción del principio democrático y de separación de funciones, en la medida en que dicha atribución viene dada directamente por la Constitución y a través de las leyes reservadas al desarrollo del legislador. En uno u otro caso, el constituyente </w:t>
      </w:r>
      <w:r w:rsidR="008E77F2" w:rsidRPr="0085049E">
        <w:rPr>
          <w:rFonts w:ascii="Cambria" w:eastAsia="Times New Roman" w:hAnsi="Cambria"/>
          <w:i/>
          <w:sz w:val="26"/>
          <w:szCs w:val="26"/>
        </w:rPr>
        <w:lastRenderedPageBreak/>
        <w:t>manifiesta o despliega su función ordenadora de los órganos constitucionales que habrán de cumplir la misión encomendada por la Constitución y dentro del marco estrictamente delimitado por la ley que le rige.</w:t>
      </w:r>
      <w:r w:rsidRPr="0085049E">
        <w:rPr>
          <w:rFonts w:ascii="Cambria" w:eastAsia="Times New Roman" w:hAnsi="Cambria"/>
          <w:i/>
          <w:sz w:val="26"/>
          <w:szCs w:val="26"/>
        </w:rPr>
        <w:t xml:space="preserve"> Asimismo, y continuamos citando. </w:t>
      </w:r>
      <w:r w:rsidR="007079F5" w:rsidRPr="0085049E">
        <w:rPr>
          <w:rFonts w:ascii="Times New Roman" w:eastAsia="Times New Roman" w:hAnsi="Times New Roman"/>
          <w:i/>
          <w:sz w:val="26"/>
          <w:szCs w:val="26"/>
        </w:rPr>
        <w:t>E</w:t>
      </w:r>
      <w:r w:rsidRPr="0085049E">
        <w:rPr>
          <w:rFonts w:ascii="Times New Roman" w:eastAsia="Times New Roman" w:hAnsi="Times New Roman"/>
          <w:i/>
          <w:sz w:val="26"/>
          <w:szCs w:val="26"/>
        </w:rPr>
        <w:t>s</w:t>
      </w:r>
      <w:r w:rsidR="007079F5" w:rsidRPr="0085049E">
        <w:rPr>
          <w:rFonts w:ascii="Times New Roman" w:eastAsia="Times New Roman" w:hAnsi="Times New Roman"/>
          <w:i/>
          <w:sz w:val="26"/>
          <w:szCs w:val="26"/>
        </w:rPr>
        <w:t xml:space="preserve"> dable afirmar que el Tribunal Superior Electoral ha sido dotado por el constituyente de una competencia especial –en materia electoral– que le atribuye funciones específicas como órgano extra-poder, concentrando la delimitada función de juzgar y decidir, en forma definitiva, los asuntos contenciosos electorales y los conflictos que surjan a lo interno de los partidos, agrupaciones y movimientos políticos o entre éstos. Esta es, y no otra, la concreta asignación de competencia que le ha sido conferida por la Constitución al Tribunal Superior Electoral en la administración de la justicia electoral.</w:t>
      </w:r>
    </w:p>
    <w:p w14:paraId="64D6B7D5" w14:textId="58F4A211" w:rsidR="007D335F" w:rsidRPr="0085049E" w:rsidRDefault="007D335F" w:rsidP="0085049E">
      <w:pPr>
        <w:spacing w:after="0" w:line="240" w:lineRule="atLeast"/>
        <w:jc w:val="both"/>
        <w:rPr>
          <w:rFonts w:ascii="Cambria" w:hAnsi="Cambria"/>
          <w:b/>
          <w:i/>
          <w:sz w:val="26"/>
          <w:szCs w:val="26"/>
        </w:rPr>
      </w:pPr>
    </w:p>
    <w:p w14:paraId="45D50D2E" w14:textId="490D34C1" w:rsidR="00185C44" w:rsidRPr="0085049E" w:rsidRDefault="00185C44" w:rsidP="0085049E">
      <w:pPr>
        <w:spacing w:after="0" w:line="240" w:lineRule="atLeast"/>
        <w:jc w:val="both"/>
        <w:rPr>
          <w:rFonts w:ascii="Cambria" w:hAnsi="Cambria"/>
          <w:sz w:val="26"/>
          <w:szCs w:val="26"/>
          <w:lang w:val="es-DO"/>
        </w:rPr>
      </w:pPr>
      <w:r w:rsidRPr="0085049E">
        <w:rPr>
          <w:rFonts w:ascii="Cambria" w:hAnsi="Cambria"/>
          <w:sz w:val="26"/>
          <w:szCs w:val="26"/>
          <w:lang w:val="es-DO"/>
        </w:rPr>
        <w:t>Otros temas contenidos en la ley imponen un mal ejemplo y una prostitución al esquema de seguridad social en la República Dominicana</w:t>
      </w:r>
      <w:r w:rsidR="00E869DA">
        <w:rPr>
          <w:rFonts w:ascii="Cambria" w:hAnsi="Cambria"/>
          <w:sz w:val="26"/>
          <w:szCs w:val="26"/>
          <w:lang w:val="es-DO"/>
        </w:rPr>
        <w:t xml:space="preserve">, al crear y profundizar las desigualdades existentes, </w:t>
      </w:r>
      <w:r w:rsidRPr="0085049E">
        <w:rPr>
          <w:rFonts w:ascii="Cambria" w:hAnsi="Cambria"/>
          <w:sz w:val="26"/>
          <w:szCs w:val="26"/>
          <w:lang w:val="es-DO"/>
        </w:rPr>
        <w:t>privilegia</w:t>
      </w:r>
      <w:r w:rsidR="00E869DA">
        <w:rPr>
          <w:rFonts w:ascii="Cambria" w:hAnsi="Cambria"/>
          <w:sz w:val="26"/>
          <w:szCs w:val="26"/>
          <w:lang w:val="es-DO"/>
        </w:rPr>
        <w:t>ndo</w:t>
      </w:r>
      <w:r w:rsidRPr="0085049E">
        <w:rPr>
          <w:rFonts w:ascii="Cambria" w:hAnsi="Cambria"/>
          <w:sz w:val="26"/>
          <w:szCs w:val="26"/>
          <w:lang w:val="es-DO"/>
        </w:rPr>
        <w:t xml:space="preserve"> </w:t>
      </w:r>
      <w:r w:rsidR="00E869DA">
        <w:rPr>
          <w:rFonts w:ascii="Cambria" w:hAnsi="Cambria"/>
          <w:sz w:val="26"/>
          <w:szCs w:val="26"/>
          <w:lang w:val="es-DO"/>
        </w:rPr>
        <w:t xml:space="preserve">de forma irritante </w:t>
      </w:r>
      <w:r w:rsidRPr="0085049E">
        <w:rPr>
          <w:rFonts w:ascii="Cambria" w:hAnsi="Cambria"/>
          <w:sz w:val="26"/>
          <w:szCs w:val="26"/>
          <w:lang w:val="es-DO"/>
        </w:rPr>
        <w:t xml:space="preserve">a los jueces </w:t>
      </w:r>
      <w:r w:rsidR="00E869DA">
        <w:rPr>
          <w:rFonts w:ascii="Cambria" w:hAnsi="Cambria"/>
          <w:sz w:val="26"/>
          <w:szCs w:val="26"/>
          <w:lang w:val="es-DO"/>
        </w:rPr>
        <w:t>del</w:t>
      </w:r>
      <w:r w:rsidRPr="0085049E">
        <w:rPr>
          <w:rFonts w:ascii="Cambria" w:hAnsi="Cambria"/>
          <w:sz w:val="26"/>
          <w:szCs w:val="26"/>
          <w:lang w:val="es-DO"/>
        </w:rPr>
        <w:t xml:space="preserve"> superior electoral con beneficios y sueldos equivalentes a los del Tribunal Constitucional, además de exoneraciones de vehículos ilimitadas cada tres años, pasaportes diplomáticos, </w:t>
      </w:r>
      <w:r w:rsidR="00E869DA">
        <w:rPr>
          <w:rFonts w:ascii="Cambria" w:hAnsi="Cambria"/>
          <w:sz w:val="26"/>
          <w:szCs w:val="26"/>
          <w:lang w:val="es-DO"/>
        </w:rPr>
        <w:t xml:space="preserve">armas de fuegos de cualquier calibre, placas oficiales para vehículos asignados y personales, </w:t>
      </w:r>
      <w:r w:rsidRPr="0085049E">
        <w:rPr>
          <w:rFonts w:ascii="Cambria" w:hAnsi="Cambria"/>
          <w:sz w:val="26"/>
          <w:szCs w:val="26"/>
          <w:lang w:val="es-DO"/>
        </w:rPr>
        <w:t xml:space="preserve">seguros de vida y de salud para ellos y sus familiares, incluso extensivos a los jueces salientes quienes también gozaran de por vida de los mismo beneficios, </w:t>
      </w:r>
      <w:r w:rsidR="00E869DA">
        <w:rPr>
          <w:rFonts w:ascii="Cambria" w:hAnsi="Cambria"/>
          <w:sz w:val="26"/>
          <w:szCs w:val="26"/>
          <w:lang w:val="es-DO"/>
        </w:rPr>
        <w:t xml:space="preserve">bajo un a condición especial de jueces emérito, </w:t>
      </w:r>
      <w:r w:rsidRPr="0085049E">
        <w:rPr>
          <w:rFonts w:ascii="Cambria" w:hAnsi="Cambria"/>
          <w:sz w:val="26"/>
          <w:szCs w:val="26"/>
          <w:lang w:val="es-DO"/>
        </w:rPr>
        <w:t>todo ello supeditado a la reglamentación de los mismo jueces</w:t>
      </w:r>
      <w:r w:rsidR="00E869DA">
        <w:rPr>
          <w:rFonts w:ascii="Cambria" w:hAnsi="Cambria"/>
          <w:sz w:val="26"/>
          <w:szCs w:val="26"/>
          <w:lang w:val="es-DO"/>
        </w:rPr>
        <w:t>,</w:t>
      </w:r>
      <w:r w:rsidRPr="0085049E">
        <w:rPr>
          <w:rFonts w:ascii="Cambria" w:hAnsi="Cambria"/>
          <w:sz w:val="26"/>
          <w:szCs w:val="26"/>
          <w:lang w:val="es-DO"/>
        </w:rPr>
        <w:t xml:space="preserve"> pase a que solo duran 4 años en el cargo.</w:t>
      </w:r>
    </w:p>
    <w:p w14:paraId="5E8E4F1A" w14:textId="77777777" w:rsidR="00185C44" w:rsidRPr="0085049E" w:rsidRDefault="00185C44" w:rsidP="0085049E">
      <w:pPr>
        <w:spacing w:after="0" w:line="240" w:lineRule="atLeast"/>
        <w:jc w:val="both"/>
        <w:rPr>
          <w:rFonts w:ascii="Cambria" w:hAnsi="Cambria"/>
          <w:sz w:val="26"/>
          <w:szCs w:val="26"/>
          <w:lang w:val="es-DO"/>
        </w:rPr>
      </w:pPr>
    </w:p>
    <w:p w14:paraId="084F8A8D" w14:textId="70F35F0C" w:rsidR="007D335F" w:rsidRPr="0085049E" w:rsidRDefault="0054375B" w:rsidP="0085049E">
      <w:pPr>
        <w:spacing w:after="0" w:line="240" w:lineRule="atLeast"/>
        <w:jc w:val="both"/>
        <w:rPr>
          <w:rFonts w:ascii="Cambria" w:hAnsi="Cambria"/>
          <w:sz w:val="26"/>
          <w:szCs w:val="26"/>
          <w:lang w:val="es-DO"/>
        </w:rPr>
      </w:pPr>
      <w:r w:rsidRPr="0085049E">
        <w:rPr>
          <w:rFonts w:ascii="Cambria" w:hAnsi="Cambria"/>
          <w:sz w:val="26"/>
          <w:szCs w:val="26"/>
          <w:lang w:val="es-DO"/>
        </w:rPr>
        <w:t xml:space="preserve">Finalmente </w:t>
      </w:r>
      <w:r w:rsidR="0075717F">
        <w:rPr>
          <w:rFonts w:ascii="Cambria" w:hAnsi="Cambria"/>
          <w:sz w:val="26"/>
          <w:szCs w:val="26"/>
          <w:lang w:val="es-DO"/>
        </w:rPr>
        <w:t xml:space="preserve">los representantes de las entidades convocantes Trajano </w:t>
      </w:r>
      <w:proofErr w:type="spellStart"/>
      <w:r w:rsidR="0075717F">
        <w:rPr>
          <w:rFonts w:ascii="Cambria" w:hAnsi="Cambria"/>
          <w:sz w:val="26"/>
          <w:szCs w:val="26"/>
          <w:lang w:val="es-DO"/>
        </w:rPr>
        <w:t>Potentini</w:t>
      </w:r>
      <w:proofErr w:type="spellEnd"/>
      <w:r w:rsidR="0075717F">
        <w:rPr>
          <w:rFonts w:ascii="Cambria" w:hAnsi="Cambria"/>
          <w:sz w:val="26"/>
          <w:szCs w:val="26"/>
          <w:lang w:val="es-DO"/>
        </w:rPr>
        <w:t xml:space="preserve"> presidente del Colegio de Abogados, Julio Cesar de la Rosa de ADOCCO, Máximo Calzado Reyes y Ernesto </w:t>
      </w:r>
      <w:proofErr w:type="spellStart"/>
      <w:r w:rsidR="0075717F">
        <w:rPr>
          <w:rFonts w:ascii="Cambria" w:hAnsi="Cambria"/>
          <w:sz w:val="26"/>
          <w:szCs w:val="26"/>
          <w:lang w:val="es-DO"/>
        </w:rPr>
        <w:t>Dotel</w:t>
      </w:r>
      <w:proofErr w:type="spellEnd"/>
      <w:r w:rsidR="0075717F">
        <w:rPr>
          <w:rFonts w:ascii="Cambria" w:hAnsi="Cambria"/>
          <w:sz w:val="26"/>
          <w:szCs w:val="26"/>
          <w:lang w:val="es-DO"/>
        </w:rPr>
        <w:t xml:space="preserve"> de Justicia y Transparencia, recordaron que</w:t>
      </w:r>
      <w:r w:rsidRPr="0085049E">
        <w:rPr>
          <w:rFonts w:ascii="Cambria" w:hAnsi="Cambria"/>
          <w:sz w:val="26"/>
          <w:szCs w:val="26"/>
          <w:lang w:val="es-DO"/>
        </w:rPr>
        <w:t xml:space="preserve"> </w:t>
      </w:r>
      <w:r w:rsidR="006F3908" w:rsidRPr="0085049E">
        <w:rPr>
          <w:rFonts w:ascii="Cambria" w:hAnsi="Cambria"/>
          <w:sz w:val="26"/>
          <w:szCs w:val="26"/>
          <w:lang w:val="es-DO"/>
        </w:rPr>
        <w:t xml:space="preserve">en el 2021 </w:t>
      </w:r>
      <w:r w:rsidRPr="0085049E">
        <w:rPr>
          <w:rFonts w:ascii="Cambria" w:hAnsi="Cambria"/>
          <w:sz w:val="26"/>
          <w:szCs w:val="26"/>
          <w:lang w:val="es-DO"/>
        </w:rPr>
        <w:t xml:space="preserve">el constitucional le negó la posibilidad al Tribunal Superior Electoral </w:t>
      </w:r>
      <w:r w:rsidR="0075717F">
        <w:rPr>
          <w:rFonts w:ascii="Cambria" w:hAnsi="Cambria"/>
          <w:sz w:val="26"/>
          <w:szCs w:val="26"/>
          <w:lang w:val="es-DO"/>
        </w:rPr>
        <w:t xml:space="preserve">de </w:t>
      </w:r>
      <w:r w:rsidRPr="0085049E">
        <w:rPr>
          <w:rFonts w:ascii="Cambria" w:hAnsi="Cambria"/>
          <w:sz w:val="26"/>
          <w:szCs w:val="26"/>
          <w:lang w:val="es-DO"/>
        </w:rPr>
        <w:t>la competencia de los delitos electorales, dada por leyes, resultando un mayor contrasentido la pretensión de ser competentes para los litigios de los gremios</w:t>
      </w:r>
      <w:r w:rsidR="0075717F">
        <w:rPr>
          <w:rFonts w:ascii="Cambria" w:hAnsi="Cambria"/>
          <w:sz w:val="26"/>
          <w:szCs w:val="26"/>
          <w:lang w:val="es-DO"/>
        </w:rPr>
        <w:t xml:space="preserve"> y otras asociaciones</w:t>
      </w:r>
      <w:r w:rsidRPr="0085049E">
        <w:rPr>
          <w:rFonts w:ascii="Cambria" w:hAnsi="Cambria"/>
          <w:sz w:val="26"/>
          <w:szCs w:val="26"/>
          <w:lang w:val="es-DO"/>
        </w:rPr>
        <w:t xml:space="preserve">, aún más alejado de su naturaleza, en esa virtud anunciamos que de concretarse el correspondiente despropósito acudiremos a todas instancias posibles, tanto nacionales como internacionales hasta restaurar la legalidad y el respeto del derecho que tienen los gremios </w:t>
      </w:r>
      <w:r w:rsidR="006F3908" w:rsidRPr="0085049E">
        <w:rPr>
          <w:rFonts w:ascii="Cambria" w:hAnsi="Cambria"/>
          <w:sz w:val="26"/>
          <w:szCs w:val="26"/>
          <w:lang w:val="es-DO"/>
        </w:rPr>
        <w:t xml:space="preserve">y las asociaciones, </w:t>
      </w:r>
      <w:r w:rsidRPr="0085049E">
        <w:rPr>
          <w:rFonts w:ascii="Cambria" w:hAnsi="Cambria"/>
          <w:sz w:val="26"/>
          <w:szCs w:val="26"/>
          <w:lang w:val="es-DO"/>
        </w:rPr>
        <w:t>a su independencia</w:t>
      </w:r>
      <w:r w:rsidR="006F3908" w:rsidRPr="0085049E">
        <w:rPr>
          <w:rFonts w:ascii="Cambria" w:hAnsi="Cambria"/>
          <w:sz w:val="26"/>
          <w:szCs w:val="26"/>
          <w:lang w:val="es-DO"/>
        </w:rPr>
        <w:t xml:space="preserve"> como entes de derecho privado</w:t>
      </w:r>
      <w:r w:rsidRPr="0085049E">
        <w:rPr>
          <w:rFonts w:ascii="Cambria" w:hAnsi="Cambria"/>
          <w:sz w:val="26"/>
          <w:szCs w:val="26"/>
          <w:lang w:val="es-DO"/>
        </w:rPr>
        <w:t>, fuera del control y manejo de la política.</w:t>
      </w:r>
    </w:p>
    <w:p w14:paraId="1EC0B313" w14:textId="5449F3DD" w:rsidR="004601D9" w:rsidRPr="0085049E" w:rsidRDefault="00C02820" w:rsidP="0085049E">
      <w:pPr>
        <w:spacing w:after="0" w:line="240" w:lineRule="atLeast"/>
        <w:jc w:val="center"/>
        <w:rPr>
          <w:rFonts w:ascii="Cambria" w:hAnsi="Cambria"/>
          <w:b/>
          <w:sz w:val="26"/>
          <w:szCs w:val="26"/>
          <w:lang w:val="es-DO"/>
        </w:rPr>
      </w:pPr>
      <w:r w:rsidRPr="0085049E">
        <w:rPr>
          <w:rFonts w:ascii="Cambria" w:hAnsi="Cambria"/>
          <w:b/>
          <w:sz w:val="26"/>
          <w:szCs w:val="26"/>
          <w:lang w:val="es-DO"/>
        </w:rPr>
        <w:t>DIRECCIÓN DE COMUNICACIONES</w:t>
      </w:r>
      <w:bookmarkEnd w:id="0"/>
    </w:p>
    <w:sectPr w:rsidR="004601D9" w:rsidRPr="0085049E" w:rsidSect="00DD44F4">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41F00" w14:textId="77777777" w:rsidR="00160499" w:rsidRDefault="00160499" w:rsidP="007867B1">
      <w:pPr>
        <w:spacing w:after="0" w:line="240" w:lineRule="auto"/>
      </w:pPr>
      <w:r>
        <w:separator/>
      </w:r>
    </w:p>
  </w:endnote>
  <w:endnote w:type="continuationSeparator" w:id="0">
    <w:p w14:paraId="184E436B" w14:textId="77777777" w:rsidR="00160499" w:rsidRDefault="00160499"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FEA2" w14:textId="046AF278" w:rsidR="00185C44" w:rsidRDefault="00185C44"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185C44" w:rsidRPr="00A10711" w:rsidRDefault="00185C44" w:rsidP="00CA13C5">
    <w:pPr>
      <w:pStyle w:val="Piedepgina"/>
      <w:ind w:left="-1418" w:right="-1227"/>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Calle Isabel La Católica No. 60</w:t>
    </w:r>
    <w:r>
      <w:rPr>
        <w:rFonts w:ascii="Arial" w:hAnsi="Arial" w:cs="Arial"/>
        <w:sz w:val="18"/>
        <w:szCs w:val="18"/>
      </w:rPr>
      <w:t xml:space="preserve">                         </w:t>
    </w:r>
    <w:r>
      <w:t>San Juan Bautista #136, Esq.                  Av. Simón Bolívar No. 9, Sector Gascue</w:t>
    </w:r>
    <w:r>
      <w:tab/>
    </w:r>
  </w:p>
  <w:p w14:paraId="4BE9235D" w14:textId="5044B689" w:rsidR="00185C44" w:rsidRPr="00A10711" w:rsidRDefault="00185C44" w:rsidP="00882A0A">
    <w:pPr>
      <w:pStyle w:val="Piedepgina"/>
      <w:ind w:left="-993" w:right="-1085"/>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 xml:space="preserve">Esq. Conde, Zona Colonial, Sto. Dgo., </w:t>
    </w:r>
    <w:proofErr w:type="gramStart"/>
    <w:r>
      <w:rPr>
        <w:rFonts w:ascii="Arial" w:hAnsi="Arial" w:cs="Arial"/>
        <w:sz w:val="18"/>
        <w:szCs w:val="18"/>
      </w:rPr>
      <w:tab/>
      <w:t xml:space="preserve">  Cayetano</w:t>
    </w:r>
    <w:proofErr w:type="gramEnd"/>
    <w:r>
      <w:rPr>
        <w:rFonts w:ascii="Arial" w:hAnsi="Arial" w:cs="Arial"/>
        <w:sz w:val="18"/>
        <w:szCs w:val="18"/>
      </w:rPr>
      <w:t xml:space="preserve"> </w:t>
    </w:r>
    <w:proofErr w:type="spellStart"/>
    <w:r>
      <w:rPr>
        <w:rFonts w:ascii="Arial" w:hAnsi="Arial" w:cs="Arial"/>
        <w:sz w:val="18"/>
        <w:szCs w:val="18"/>
      </w:rPr>
      <w:t>Germosén</w:t>
    </w:r>
    <w:proofErr w:type="spellEnd"/>
    <w:r>
      <w:rPr>
        <w:rFonts w:ascii="Arial" w:hAnsi="Arial" w:cs="Arial"/>
        <w:sz w:val="18"/>
        <w:szCs w:val="18"/>
      </w:rPr>
      <w:t xml:space="preserve">, Sector </w:t>
    </w:r>
    <w:proofErr w:type="spellStart"/>
    <w:r>
      <w:rPr>
        <w:rFonts w:ascii="Arial" w:hAnsi="Arial" w:cs="Arial"/>
        <w:sz w:val="18"/>
        <w:szCs w:val="18"/>
      </w:rPr>
      <w:t>Atala</w:t>
    </w:r>
    <w:proofErr w:type="spellEnd"/>
    <w:r>
      <w:rPr>
        <w:rFonts w:ascii="Arial" w:hAnsi="Arial" w:cs="Arial"/>
        <w:sz w:val="18"/>
        <w:szCs w:val="18"/>
      </w:rPr>
      <w:t>,</w:t>
    </w:r>
    <w:r>
      <w:rPr>
        <w:rFonts w:ascii="Arial" w:hAnsi="Arial" w:cs="Arial"/>
        <w:sz w:val="18"/>
        <w:szCs w:val="18"/>
      </w:rPr>
      <w:tab/>
      <w:t xml:space="preserve">                      Sto. </w:t>
    </w:r>
    <w:proofErr w:type="spellStart"/>
    <w:r>
      <w:rPr>
        <w:rFonts w:ascii="Arial" w:hAnsi="Arial" w:cs="Arial"/>
        <w:sz w:val="18"/>
        <w:szCs w:val="18"/>
      </w:rPr>
      <w:t>Dgo</w:t>
    </w:r>
    <w:proofErr w:type="spellEnd"/>
    <w:r>
      <w:rPr>
        <w:rFonts w:ascii="Arial" w:hAnsi="Arial" w:cs="Arial"/>
        <w:sz w:val="18"/>
        <w:szCs w:val="18"/>
      </w:rPr>
      <w:t>., Distrito Nacional, R.D.</w:t>
    </w:r>
  </w:p>
  <w:p w14:paraId="2849220D" w14:textId="2AAE2129" w:rsidR="00185C44" w:rsidRDefault="00185C44" w:rsidP="00882A0A">
    <w:pPr>
      <w:pStyle w:val="Piedepgina"/>
      <w:ind w:left="-993" w:right="-1085"/>
    </w:pPr>
    <w:r w:rsidRPr="00A10711">
      <w:rPr>
        <w:rFonts w:ascii="Arial" w:hAnsi="Arial" w:cs="Arial"/>
        <w:sz w:val="18"/>
        <w:szCs w:val="18"/>
      </w:rPr>
      <w:t>Distrito Nacional, R.D. Tel: 809-685-5259</w:t>
    </w:r>
    <w:r>
      <w:rPr>
        <w:rFonts w:ascii="Arial" w:hAnsi="Arial" w:cs="Arial"/>
        <w:sz w:val="18"/>
        <w:szCs w:val="18"/>
      </w:rPr>
      <w:tab/>
      <w:t xml:space="preserve"> Sto. </w:t>
    </w:r>
    <w:proofErr w:type="spellStart"/>
    <w:r>
      <w:rPr>
        <w:rFonts w:ascii="Arial" w:hAnsi="Arial" w:cs="Arial"/>
        <w:sz w:val="18"/>
        <w:szCs w:val="18"/>
      </w:rPr>
      <w:t>Dgo</w:t>
    </w:r>
    <w:proofErr w:type="spellEnd"/>
    <w:r>
      <w:rPr>
        <w:rFonts w:ascii="Arial" w:hAnsi="Arial" w:cs="Arial"/>
        <w:sz w:val="18"/>
        <w:szCs w:val="18"/>
      </w:rPr>
      <w:t xml:space="preserve">., D.N.,R.D. </w:t>
    </w:r>
    <w:hyperlink r:id="rId1" w:history="1">
      <w:r w:rsidRPr="00882A0A">
        <w:rPr>
          <w:rStyle w:val="Hipervnculo"/>
          <w:rFonts w:ascii="Arial" w:hAnsi="Arial" w:cs="Arial"/>
          <w:color w:val="auto"/>
          <w:sz w:val="18"/>
          <w:szCs w:val="18"/>
          <w:u w:val="none"/>
        </w:rPr>
        <w:t>Tel:809-685-4029</w:t>
      </w:r>
    </w:hyperlink>
    <w:r>
      <w:rPr>
        <w:rFonts w:ascii="Arial" w:hAnsi="Arial" w:cs="Arial"/>
        <w:sz w:val="18"/>
        <w:szCs w:val="18"/>
      </w:rPr>
      <w:t xml:space="preserve">                           </w:t>
    </w:r>
    <w:r>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9756C" w14:textId="77777777" w:rsidR="00160499" w:rsidRDefault="00160499" w:rsidP="007867B1">
      <w:pPr>
        <w:spacing w:after="0" w:line="240" w:lineRule="auto"/>
      </w:pPr>
      <w:r>
        <w:separator/>
      </w:r>
    </w:p>
  </w:footnote>
  <w:footnote w:type="continuationSeparator" w:id="0">
    <w:p w14:paraId="5021B9D6" w14:textId="77777777" w:rsidR="00160499" w:rsidRDefault="00160499"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D4320" w14:textId="14EF319C" w:rsidR="00185C44" w:rsidRPr="009D7DF7" w:rsidRDefault="00160499"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055123762"/>
        <w:docPartObj>
          <w:docPartGallery w:val="Page Numbers (Margins)"/>
          <w:docPartUnique/>
        </w:docPartObj>
      </w:sdtPr>
      <w:sdtEndPr/>
      <w:sdtContent>
        <w:r w:rsidR="00185C44" w:rsidRPr="00257025">
          <w:rPr>
            <w:rFonts w:ascii="Arial" w:hAnsi="Arial" w:cs="Arial"/>
            <w:b/>
            <w:bCs/>
            <w:noProof/>
            <w:color w:val="2F5496" w:themeColor="accent1" w:themeShade="BF"/>
            <w:sz w:val="28"/>
            <w:szCs w:val="28"/>
            <w:lang w:val="es-DO" w:eastAsia="es-DO"/>
          </w:rPr>
          <mc:AlternateContent>
            <mc:Choice Requires="wps">
              <w:drawing>
                <wp:anchor distT="0" distB="0" distL="114300" distR="114300" simplePos="0" relativeHeight="251663360" behindDoc="0" locked="0" layoutInCell="0" allowOverlap="1" wp14:anchorId="2A46D272" wp14:editId="39F9115C">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32F5" w14:textId="61518BB3" w:rsidR="00185C44" w:rsidRDefault="00185C44">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75717F" w:rsidRPr="0075717F">
                                <w:rPr>
                                  <w:rFonts w:asciiTheme="majorHAnsi" w:eastAsiaTheme="majorEastAsia" w:hAnsiTheme="majorHAnsi" w:cstheme="majorBidi"/>
                                  <w:noProof/>
                                  <w:sz w:val="44"/>
                                  <w:szCs w:val="44"/>
                                  <w:lang w:val="es-ES"/>
                                </w:rPr>
                                <w:t>3</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46D272"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x3uwIAALcFAAAOAAAAZHJzL2Uyb0RvYy54bWysVF2O0zAQfkfiDpbfs/nZtE2iTVdL0yCk&#10;BVYsHMB1nMQisYPtNl0hDsNZuBhjZ9ttd18QkAfL4xmPv5nvy1xd7/sO7ZjSXIochxcBRkxQWXHR&#10;5PjL59JLMNKGiIp0UrAcPzCNr5evX12NQ8Yi2cquYgpBEqGzcchxa8yQ+b6mLeuJvpADE+CspeqJ&#10;AVM1fqXICNn7zo+CYO6PUlWDkpRpDafF5MRLl7+uGTUf61ozg7ocAzbjVuXWjV395RXJGkWGltNH&#10;GOQvUPSEC3j0mKoghqCt4i9S9ZwqqWVtLqjsfVnXnDJXA1QTBs+quW/JwFwt0Bw9HNuk/19a+mF3&#10;pxCvgDuMBOmBok/QtF8/RbPtJAptg8ZBZxB3P9wpW6IebiX9qpGQq5aIht0oJceWkQpguXj/7II1&#10;NFxFm/G9rCA/2RrperWvVW8TQhfQ3lHycKSE7Q2icDgLg1kMxFFwRWFyGV46znySHW4PSpu3TPbI&#10;bnKsAL3LTna32gB6CD2E2MeELHnXOdo7cXYAgdMJvA1Xrc+icCx+T4N0nayT2Iuj+dqLg6LwbspV&#10;7M3LcDErLovVqgh/2HfDOGt5VTFhnzkoKoz/jLFHbU9aOGpKy45XNp2FpFWzWXUK7QgounSf5QjA&#10;n4T55zCcG2p5VlIYxcGbKPXKebLw4jKeeekiSLwgTN+k8yBO46I8L+mWC/bvJaExx+ksmjmWTkA/&#10;qy1w38vaSNZzAzOj432Ok2MQyawE16Jy1BrCu2l/0goL/6kV0LED0U6wVqOT1s1+s4csVrgbWT2A&#10;dJUEZYEKYdDBxq7RAswR5kaO9bctUQyj7p2APyANY6tX44x4tojAUKeezamHCNpKGEfUKIwmY2Wm&#10;8bQdFG9aeC6cGjXcwH9TcifpJ2hQjzVgOrjKHieZHT+ntot6mrfL3wA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P6p3He7AgAA&#10;t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7A0432F5" w14:textId="61518BB3" w:rsidR="00185C44" w:rsidRDefault="00185C44">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75717F" w:rsidRPr="0075717F">
                          <w:rPr>
                            <w:rFonts w:asciiTheme="majorHAnsi" w:eastAsiaTheme="majorEastAsia" w:hAnsiTheme="majorHAnsi" w:cstheme="majorBidi"/>
                            <w:noProof/>
                            <w:sz w:val="44"/>
                            <w:szCs w:val="44"/>
                            <w:lang w:val="es-ES"/>
                          </w:rPr>
                          <w:t>3</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185C44"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185C44">
      <w:rPr>
        <w:rFonts w:ascii="Arial" w:hAnsi="Arial" w:cs="Arial"/>
        <w:b/>
        <w:bCs/>
        <w:color w:val="2F5496" w:themeColor="accent1" w:themeShade="BF"/>
        <w:sz w:val="28"/>
        <w:szCs w:val="28"/>
      </w:rPr>
      <w:t xml:space="preserve">   </w:t>
    </w:r>
    <w:r w:rsidR="00185C44" w:rsidRPr="009D7DF7">
      <w:rPr>
        <w:rFonts w:ascii="Arial" w:hAnsi="Arial" w:cs="Arial"/>
        <w:b/>
        <w:bCs/>
        <w:color w:val="2F5496" w:themeColor="accent1" w:themeShade="BF"/>
        <w:sz w:val="28"/>
        <w:szCs w:val="28"/>
      </w:rPr>
      <w:t>COLEGIO DE ABOGADOS DE LA REPÚBLICA DOMINICANA</w:t>
    </w:r>
  </w:p>
  <w:p w14:paraId="1FAD499A" w14:textId="1449E2E6" w:rsidR="00185C44" w:rsidRDefault="00185C44" w:rsidP="007867B1">
    <w:pPr>
      <w:pStyle w:val="Encabezado"/>
      <w:jc w:val="center"/>
      <w:rPr>
        <w:rFonts w:ascii="Arial" w:hAnsi="Arial" w:cs="Arial"/>
        <w:b/>
        <w:bCs/>
        <w:sz w:val="24"/>
        <w:szCs w:val="24"/>
      </w:rPr>
    </w:pPr>
    <w:r w:rsidRPr="007867B1">
      <w:rPr>
        <w:rFonts w:ascii="Arial" w:hAnsi="Arial" w:cs="Arial"/>
        <w:b/>
        <w:bCs/>
        <w:sz w:val="24"/>
        <w:szCs w:val="24"/>
      </w:rPr>
      <w:t>Fundado el 3 de febrero de 1983</w:t>
    </w:r>
  </w:p>
  <w:p w14:paraId="7936CCC4" w14:textId="1E781513" w:rsidR="00185C44" w:rsidRDefault="00185C44" w:rsidP="007867B1">
    <w:pPr>
      <w:pStyle w:val="Encabezado"/>
      <w:jc w:val="center"/>
      <w:rPr>
        <w:rFonts w:ascii="Arial" w:hAnsi="Arial" w:cs="Arial"/>
        <w:sz w:val="24"/>
        <w:szCs w:val="24"/>
      </w:rPr>
    </w:pPr>
    <w:r>
      <w:rPr>
        <w:rFonts w:ascii="Arial" w:hAnsi="Arial" w:cs="Arial"/>
        <w:sz w:val="24"/>
        <w:szCs w:val="24"/>
      </w:rPr>
      <w:t xml:space="preserve">            Miembro Activo de la Federación Interamericana de Abogados (FIA)</w:t>
    </w:r>
  </w:p>
  <w:p w14:paraId="76E60E98" w14:textId="753DDD33" w:rsidR="00185C44" w:rsidRDefault="00185C44" w:rsidP="00A10711">
    <w:pPr>
      <w:pStyle w:val="Encabezado"/>
      <w:ind w:right="-518"/>
      <w:jc w:val="center"/>
      <w:rPr>
        <w:rFonts w:ascii="Arial" w:hAnsi="Arial" w:cs="Arial"/>
        <w:sz w:val="24"/>
        <w:szCs w:val="24"/>
      </w:rPr>
    </w:pPr>
    <w:r>
      <w:rPr>
        <w:rFonts w:ascii="Arial" w:hAnsi="Arial" w:cs="Arial"/>
        <w:sz w:val="24"/>
        <w:szCs w:val="24"/>
      </w:rPr>
      <w:t xml:space="preserve"> Y de la Unión Iberoamericana de Colegios y Agrupaciones de Abogados (UIBA)</w:t>
    </w:r>
  </w:p>
  <w:p w14:paraId="321D0AE0" w14:textId="77777777" w:rsidR="00185C44" w:rsidRPr="00882A0A" w:rsidRDefault="00185C4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F06E4"/>
    <w:multiLevelType w:val="multilevel"/>
    <w:tmpl w:val="EFA6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B1"/>
    <w:rsid w:val="0001793B"/>
    <w:rsid w:val="000277D4"/>
    <w:rsid w:val="00092A97"/>
    <w:rsid w:val="001017CA"/>
    <w:rsid w:val="001227FD"/>
    <w:rsid w:val="00144768"/>
    <w:rsid w:val="00146B64"/>
    <w:rsid w:val="00152A9A"/>
    <w:rsid w:val="00160499"/>
    <w:rsid w:val="001633A8"/>
    <w:rsid w:val="001700E4"/>
    <w:rsid w:val="00185C44"/>
    <w:rsid w:val="00193C54"/>
    <w:rsid w:val="001C51B8"/>
    <w:rsid w:val="00257025"/>
    <w:rsid w:val="0027178C"/>
    <w:rsid w:val="00296477"/>
    <w:rsid w:val="002A4D41"/>
    <w:rsid w:val="002B62D0"/>
    <w:rsid w:val="002E358E"/>
    <w:rsid w:val="002F4314"/>
    <w:rsid w:val="00303194"/>
    <w:rsid w:val="00325373"/>
    <w:rsid w:val="00344CF6"/>
    <w:rsid w:val="00383F0A"/>
    <w:rsid w:val="00385A50"/>
    <w:rsid w:val="003C2763"/>
    <w:rsid w:val="003D52E0"/>
    <w:rsid w:val="003E55D8"/>
    <w:rsid w:val="003F4D33"/>
    <w:rsid w:val="00400BD6"/>
    <w:rsid w:val="004014BB"/>
    <w:rsid w:val="00430958"/>
    <w:rsid w:val="00432D3E"/>
    <w:rsid w:val="004601D9"/>
    <w:rsid w:val="004814CA"/>
    <w:rsid w:val="00492779"/>
    <w:rsid w:val="00501047"/>
    <w:rsid w:val="0054375B"/>
    <w:rsid w:val="00570020"/>
    <w:rsid w:val="005748D9"/>
    <w:rsid w:val="005B1C55"/>
    <w:rsid w:val="005C026D"/>
    <w:rsid w:val="005E4925"/>
    <w:rsid w:val="005F0756"/>
    <w:rsid w:val="00647439"/>
    <w:rsid w:val="00647B72"/>
    <w:rsid w:val="006706C7"/>
    <w:rsid w:val="006844D1"/>
    <w:rsid w:val="006937D4"/>
    <w:rsid w:val="006941D6"/>
    <w:rsid w:val="006A7B9B"/>
    <w:rsid w:val="006C0515"/>
    <w:rsid w:val="006C10E5"/>
    <w:rsid w:val="006E1B65"/>
    <w:rsid w:val="006F2F2F"/>
    <w:rsid w:val="006F3908"/>
    <w:rsid w:val="007079F5"/>
    <w:rsid w:val="00734960"/>
    <w:rsid w:val="007404F8"/>
    <w:rsid w:val="0075717F"/>
    <w:rsid w:val="00761437"/>
    <w:rsid w:val="007867B1"/>
    <w:rsid w:val="007D335F"/>
    <w:rsid w:val="007F6B8D"/>
    <w:rsid w:val="00827606"/>
    <w:rsid w:val="00827ABA"/>
    <w:rsid w:val="0085049E"/>
    <w:rsid w:val="00865B49"/>
    <w:rsid w:val="00871F18"/>
    <w:rsid w:val="00882A0A"/>
    <w:rsid w:val="008E00E3"/>
    <w:rsid w:val="008E77F2"/>
    <w:rsid w:val="0091423E"/>
    <w:rsid w:val="00933543"/>
    <w:rsid w:val="009735C5"/>
    <w:rsid w:val="00975353"/>
    <w:rsid w:val="00995536"/>
    <w:rsid w:val="009D7DF7"/>
    <w:rsid w:val="00A02E84"/>
    <w:rsid w:val="00A1064F"/>
    <w:rsid w:val="00A10711"/>
    <w:rsid w:val="00A31A79"/>
    <w:rsid w:val="00A4452A"/>
    <w:rsid w:val="00A67497"/>
    <w:rsid w:val="00AB1991"/>
    <w:rsid w:val="00AB5F95"/>
    <w:rsid w:val="00AE5B5F"/>
    <w:rsid w:val="00B34569"/>
    <w:rsid w:val="00BA765F"/>
    <w:rsid w:val="00BB1E73"/>
    <w:rsid w:val="00C02820"/>
    <w:rsid w:val="00C27912"/>
    <w:rsid w:val="00C6259B"/>
    <w:rsid w:val="00CA13C5"/>
    <w:rsid w:val="00CA78D8"/>
    <w:rsid w:val="00CB1A05"/>
    <w:rsid w:val="00CF21D2"/>
    <w:rsid w:val="00D50A76"/>
    <w:rsid w:val="00DA094E"/>
    <w:rsid w:val="00DD44F4"/>
    <w:rsid w:val="00DE6D13"/>
    <w:rsid w:val="00E102D2"/>
    <w:rsid w:val="00E869DA"/>
    <w:rsid w:val="00E92BBC"/>
    <w:rsid w:val="00F03344"/>
    <w:rsid w:val="00F6030C"/>
    <w:rsid w:val="00F705B2"/>
    <w:rsid w:val="00FA194F"/>
    <w:rsid w:val="00FB70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UnresolvedMention">
    <w:name w:val="Unresolved Mention"/>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AE5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5885">
      <w:bodyDiv w:val="1"/>
      <w:marLeft w:val="0"/>
      <w:marRight w:val="0"/>
      <w:marTop w:val="0"/>
      <w:marBottom w:val="0"/>
      <w:divBdr>
        <w:top w:val="none" w:sz="0" w:space="0" w:color="auto"/>
        <w:left w:val="none" w:sz="0" w:space="0" w:color="auto"/>
        <w:bottom w:val="none" w:sz="0" w:space="0" w:color="auto"/>
        <w:right w:val="none" w:sz="0" w:space="0" w:color="auto"/>
      </w:divBdr>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0093">
      <w:bodyDiv w:val="1"/>
      <w:marLeft w:val="0"/>
      <w:marRight w:val="0"/>
      <w:marTop w:val="0"/>
      <w:marBottom w:val="0"/>
      <w:divBdr>
        <w:top w:val="none" w:sz="0" w:space="0" w:color="auto"/>
        <w:left w:val="none" w:sz="0" w:space="0" w:color="auto"/>
        <w:bottom w:val="none" w:sz="0" w:space="0" w:color="auto"/>
        <w:right w:val="none" w:sz="0" w:space="0" w:color="auto"/>
      </w:divBdr>
      <w:divsChild>
        <w:div w:id="873737630">
          <w:marLeft w:val="0"/>
          <w:marRight w:val="0"/>
          <w:marTop w:val="0"/>
          <w:marBottom w:val="0"/>
          <w:divBdr>
            <w:top w:val="none" w:sz="0" w:space="0" w:color="auto"/>
            <w:left w:val="none" w:sz="0" w:space="0" w:color="auto"/>
            <w:bottom w:val="none" w:sz="0" w:space="0" w:color="auto"/>
            <w:right w:val="none" w:sz="0" w:space="0" w:color="auto"/>
          </w:divBdr>
        </w:div>
      </w:divsChild>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1496">
      <w:bodyDiv w:val="1"/>
      <w:marLeft w:val="0"/>
      <w:marRight w:val="0"/>
      <w:marTop w:val="0"/>
      <w:marBottom w:val="0"/>
      <w:divBdr>
        <w:top w:val="none" w:sz="0" w:space="0" w:color="auto"/>
        <w:left w:val="none" w:sz="0" w:space="0" w:color="auto"/>
        <w:bottom w:val="none" w:sz="0" w:space="0" w:color="auto"/>
        <w:right w:val="none" w:sz="0" w:space="0" w:color="auto"/>
      </w:divBdr>
      <w:divsChild>
        <w:div w:id="476998150">
          <w:marLeft w:val="0"/>
          <w:marRight w:val="0"/>
          <w:marTop w:val="0"/>
          <w:marBottom w:val="0"/>
          <w:divBdr>
            <w:top w:val="none" w:sz="0" w:space="0" w:color="auto"/>
            <w:left w:val="none" w:sz="0" w:space="0" w:color="auto"/>
            <w:bottom w:val="none" w:sz="0" w:space="0" w:color="auto"/>
            <w:right w:val="none" w:sz="0" w:space="0" w:color="auto"/>
          </w:divBdr>
        </w:div>
        <w:div w:id="338657078">
          <w:marLeft w:val="0"/>
          <w:marRight w:val="0"/>
          <w:marTop w:val="0"/>
          <w:marBottom w:val="0"/>
          <w:divBdr>
            <w:top w:val="none" w:sz="0" w:space="0" w:color="auto"/>
            <w:left w:val="none" w:sz="0" w:space="0" w:color="auto"/>
            <w:bottom w:val="none" w:sz="0" w:space="0" w:color="auto"/>
            <w:right w:val="none" w:sz="0" w:space="0" w:color="auto"/>
          </w:divBdr>
        </w:div>
        <w:div w:id="1900243445">
          <w:marLeft w:val="0"/>
          <w:marRight w:val="0"/>
          <w:marTop w:val="0"/>
          <w:marBottom w:val="0"/>
          <w:divBdr>
            <w:top w:val="none" w:sz="0" w:space="0" w:color="auto"/>
            <w:left w:val="none" w:sz="0" w:space="0" w:color="auto"/>
            <w:bottom w:val="none" w:sz="0" w:space="0" w:color="auto"/>
            <w:right w:val="none" w:sz="0" w:space="0" w:color="auto"/>
          </w:divBdr>
        </w:div>
        <w:div w:id="47844280">
          <w:marLeft w:val="0"/>
          <w:marRight w:val="0"/>
          <w:marTop w:val="0"/>
          <w:marBottom w:val="0"/>
          <w:divBdr>
            <w:top w:val="none" w:sz="0" w:space="0" w:color="auto"/>
            <w:left w:val="none" w:sz="0" w:space="0" w:color="auto"/>
            <w:bottom w:val="none" w:sz="0" w:space="0" w:color="auto"/>
            <w:right w:val="none" w:sz="0" w:space="0" w:color="auto"/>
          </w:divBdr>
        </w:div>
        <w:div w:id="489907012">
          <w:marLeft w:val="0"/>
          <w:marRight w:val="0"/>
          <w:marTop w:val="0"/>
          <w:marBottom w:val="0"/>
          <w:divBdr>
            <w:top w:val="none" w:sz="0" w:space="0" w:color="auto"/>
            <w:left w:val="none" w:sz="0" w:space="0" w:color="auto"/>
            <w:bottom w:val="none" w:sz="0" w:space="0" w:color="auto"/>
            <w:right w:val="none" w:sz="0" w:space="0" w:color="auto"/>
          </w:divBdr>
        </w:div>
        <w:div w:id="1313750409">
          <w:marLeft w:val="0"/>
          <w:marRight w:val="0"/>
          <w:marTop w:val="0"/>
          <w:marBottom w:val="0"/>
          <w:divBdr>
            <w:top w:val="none" w:sz="0" w:space="0" w:color="auto"/>
            <w:left w:val="none" w:sz="0" w:space="0" w:color="auto"/>
            <w:bottom w:val="none" w:sz="0" w:space="0" w:color="auto"/>
            <w:right w:val="none" w:sz="0" w:space="0" w:color="auto"/>
          </w:divBdr>
        </w:div>
        <w:div w:id="1362706855">
          <w:marLeft w:val="0"/>
          <w:marRight w:val="0"/>
          <w:marTop w:val="0"/>
          <w:marBottom w:val="0"/>
          <w:divBdr>
            <w:top w:val="none" w:sz="0" w:space="0" w:color="auto"/>
            <w:left w:val="none" w:sz="0" w:space="0" w:color="auto"/>
            <w:bottom w:val="none" w:sz="0" w:space="0" w:color="auto"/>
            <w:right w:val="none" w:sz="0" w:space="0" w:color="auto"/>
          </w:divBdr>
        </w:div>
        <w:div w:id="1021012090">
          <w:marLeft w:val="0"/>
          <w:marRight w:val="0"/>
          <w:marTop w:val="0"/>
          <w:marBottom w:val="0"/>
          <w:divBdr>
            <w:top w:val="none" w:sz="0" w:space="0" w:color="auto"/>
            <w:left w:val="none" w:sz="0" w:space="0" w:color="auto"/>
            <w:bottom w:val="none" w:sz="0" w:space="0" w:color="auto"/>
            <w:right w:val="none" w:sz="0" w:space="0" w:color="auto"/>
          </w:divBdr>
        </w:div>
        <w:div w:id="733434295">
          <w:marLeft w:val="0"/>
          <w:marRight w:val="0"/>
          <w:marTop w:val="0"/>
          <w:marBottom w:val="0"/>
          <w:divBdr>
            <w:top w:val="none" w:sz="0" w:space="0" w:color="auto"/>
            <w:left w:val="none" w:sz="0" w:space="0" w:color="auto"/>
            <w:bottom w:val="none" w:sz="0" w:space="0" w:color="auto"/>
            <w:right w:val="none" w:sz="0" w:space="0" w:color="auto"/>
          </w:divBdr>
        </w:div>
        <w:div w:id="1814986323">
          <w:marLeft w:val="0"/>
          <w:marRight w:val="0"/>
          <w:marTop w:val="0"/>
          <w:marBottom w:val="0"/>
          <w:divBdr>
            <w:top w:val="none" w:sz="0" w:space="0" w:color="auto"/>
            <w:left w:val="none" w:sz="0" w:space="0" w:color="auto"/>
            <w:bottom w:val="none" w:sz="0" w:space="0" w:color="auto"/>
            <w:right w:val="none" w:sz="0" w:space="0" w:color="auto"/>
          </w:divBdr>
        </w:div>
        <w:div w:id="1713767549">
          <w:marLeft w:val="0"/>
          <w:marRight w:val="0"/>
          <w:marTop w:val="0"/>
          <w:marBottom w:val="0"/>
          <w:divBdr>
            <w:top w:val="none" w:sz="0" w:space="0" w:color="auto"/>
            <w:left w:val="none" w:sz="0" w:space="0" w:color="auto"/>
            <w:bottom w:val="none" w:sz="0" w:space="0" w:color="auto"/>
            <w:right w:val="none" w:sz="0" w:space="0" w:color="auto"/>
          </w:divBdr>
        </w:div>
        <w:div w:id="897323921">
          <w:marLeft w:val="0"/>
          <w:marRight w:val="0"/>
          <w:marTop w:val="0"/>
          <w:marBottom w:val="0"/>
          <w:divBdr>
            <w:top w:val="none" w:sz="0" w:space="0" w:color="auto"/>
            <w:left w:val="none" w:sz="0" w:space="0" w:color="auto"/>
            <w:bottom w:val="none" w:sz="0" w:space="0" w:color="auto"/>
            <w:right w:val="none" w:sz="0" w:space="0" w:color="auto"/>
          </w:divBdr>
        </w:div>
        <w:div w:id="556741430">
          <w:marLeft w:val="0"/>
          <w:marRight w:val="0"/>
          <w:marTop w:val="0"/>
          <w:marBottom w:val="0"/>
          <w:divBdr>
            <w:top w:val="none" w:sz="0" w:space="0" w:color="auto"/>
            <w:left w:val="none" w:sz="0" w:space="0" w:color="auto"/>
            <w:bottom w:val="none" w:sz="0" w:space="0" w:color="auto"/>
            <w:right w:val="none" w:sz="0" w:space="0" w:color="auto"/>
          </w:divBdr>
        </w:div>
        <w:div w:id="1132942397">
          <w:marLeft w:val="0"/>
          <w:marRight w:val="0"/>
          <w:marTop w:val="0"/>
          <w:marBottom w:val="0"/>
          <w:divBdr>
            <w:top w:val="none" w:sz="0" w:space="0" w:color="auto"/>
            <w:left w:val="none" w:sz="0" w:space="0" w:color="auto"/>
            <w:bottom w:val="none" w:sz="0" w:space="0" w:color="auto"/>
            <w:right w:val="none" w:sz="0" w:space="0" w:color="auto"/>
          </w:divBdr>
        </w:div>
        <w:div w:id="1490832330">
          <w:marLeft w:val="0"/>
          <w:marRight w:val="0"/>
          <w:marTop w:val="0"/>
          <w:marBottom w:val="0"/>
          <w:divBdr>
            <w:top w:val="none" w:sz="0" w:space="0" w:color="auto"/>
            <w:left w:val="none" w:sz="0" w:space="0" w:color="auto"/>
            <w:bottom w:val="none" w:sz="0" w:space="0" w:color="auto"/>
            <w:right w:val="none" w:sz="0" w:space="0" w:color="auto"/>
          </w:divBdr>
        </w:div>
        <w:div w:id="595332374">
          <w:marLeft w:val="0"/>
          <w:marRight w:val="0"/>
          <w:marTop w:val="0"/>
          <w:marBottom w:val="0"/>
          <w:divBdr>
            <w:top w:val="none" w:sz="0" w:space="0" w:color="auto"/>
            <w:left w:val="none" w:sz="0" w:space="0" w:color="auto"/>
            <w:bottom w:val="none" w:sz="0" w:space="0" w:color="auto"/>
            <w:right w:val="none" w:sz="0" w:space="0" w:color="auto"/>
          </w:divBdr>
        </w:div>
        <w:div w:id="326250354">
          <w:marLeft w:val="0"/>
          <w:marRight w:val="0"/>
          <w:marTop w:val="0"/>
          <w:marBottom w:val="0"/>
          <w:divBdr>
            <w:top w:val="none" w:sz="0" w:space="0" w:color="auto"/>
            <w:left w:val="none" w:sz="0" w:space="0" w:color="auto"/>
            <w:bottom w:val="none" w:sz="0" w:space="0" w:color="auto"/>
            <w:right w:val="none" w:sz="0" w:space="0" w:color="auto"/>
          </w:divBdr>
        </w:div>
        <w:div w:id="1288775662">
          <w:marLeft w:val="0"/>
          <w:marRight w:val="0"/>
          <w:marTop w:val="0"/>
          <w:marBottom w:val="0"/>
          <w:divBdr>
            <w:top w:val="none" w:sz="0" w:space="0" w:color="auto"/>
            <w:left w:val="none" w:sz="0" w:space="0" w:color="auto"/>
            <w:bottom w:val="none" w:sz="0" w:space="0" w:color="auto"/>
            <w:right w:val="none" w:sz="0" w:space="0" w:color="auto"/>
          </w:divBdr>
        </w:div>
        <w:div w:id="1445152818">
          <w:marLeft w:val="0"/>
          <w:marRight w:val="0"/>
          <w:marTop w:val="0"/>
          <w:marBottom w:val="0"/>
          <w:divBdr>
            <w:top w:val="none" w:sz="0" w:space="0" w:color="auto"/>
            <w:left w:val="none" w:sz="0" w:space="0" w:color="auto"/>
            <w:bottom w:val="none" w:sz="0" w:space="0" w:color="auto"/>
            <w:right w:val="none" w:sz="0" w:space="0" w:color="auto"/>
          </w:divBdr>
        </w:div>
        <w:div w:id="1241676976">
          <w:marLeft w:val="0"/>
          <w:marRight w:val="0"/>
          <w:marTop w:val="0"/>
          <w:marBottom w:val="0"/>
          <w:divBdr>
            <w:top w:val="none" w:sz="0" w:space="0" w:color="auto"/>
            <w:left w:val="none" w:sz="0" w:space="0" w:color="auto"/>
            <w:bottom w:val="none" w:sz="0" w:space="0" w:color="auto"/>
            <w:right w:val="none" w:sz="0" w:space="0" w:color="auto"/>
          </w:divBdr>
        </w:div>
        <w:div w:id="588201893">
          <w:marLeft w:val="0"/>
          <w:marRight w:val="0"/>
          <w:marTop w:val="0"/>
          <w:marBottom w:val="0"/>
          <w:divBdr>
            <w:top w:val="none" w:sz="0" w:space="0" w:color="auto"/>
            <w:left w:val="none" w:sz="0" w:space="0" w:color="auto"/>
            <w:bottom w:val="none" w:sz="0" w:space="0" w:color="auto"/>
            <w:right w:val="none" w:sz="0" w:space="0" w:color="auto"/>
          </w:divBdr>
        </w:div>
        <w:div w:id="881094831">
          <w:marLeft w:val="0"/>
          <w:marRight w:val="0"/>
          <w:marTop w:val="0"/>
          <w:marBottom w:val="0"/>
          <w:divBdr>
            <w:top w:val="none" w:sz="0" w:space="0" w:color="auto"/>
            <w:left w:val="none" w:sz="0" w:space="0" w:color="auto"/>
            <w:bottom w:val="none" w:sz="0" w:space="0" w:color="auto"/>
            <w:right w:val="none" w:sz="0" w:space="0" w:color="auto"/>
          </w:divBdr>
        </w:div>
        <w:div w:id="76635323">
          <w:marLeft w:val="0"/>
          <w:marRight w:val="0"/>
          <w:marTop w:val="0"/>
          <w:marBottom w:val="0"/>
          <w:divBdr>
            <w:top w:val="none" w:sz="0" w:space="0" w:color="auto"/>
            <w:left w:val="none" w:sz="0" w:space="0" w:color="auto"/>
            <w:bottom w:val="none" w:sz="0" w:space="0" w:color="auto"/>
            <w:right w:val="none" w:sz="0" w:space="0" w:color="auto"/>
          </w:divBdr>
        </w:div>
      </w:divsChild>
    </w:div>
    <w:div w:id="793519760">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10208229">
      <w:bodyDiv w:val="1"/>
      <w:marLeft w:val="0"/>
      <w:marRight w:val="0"/>
      <w:marTop w:val="0"/>
      <w:marBottom w:val="0"/>
      <w:divBdr>
        <w:top w:val="none" w:sz="0" w:space="0" w:color="auto"/>
        <w:left w:val="none" w:sz="0" w:space="0" w:color="auto"/>
        <w:bottom w:val="none" w:sz="0" w:space="0" w:color="auto"/>
        <w:right w:val="none" w:sz="0" w:space="0" w:color="auto"/>
      </w:divBdr>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794323262">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3248F-3302-4459-BBF6-C53E878F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1173</Words>
  <Characters>6453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10</cp:revision>
  <dcterms:created xsi:type="dcterms:W3CDTF">2024-11-25T19:14:00Z</dcterms:created>
  <dcterms:modified xsi:type="dcterms:W3CDTF">2024-11-25T21:18:00Z</dcterms:modified>
</cp:coreProperties>
</file>