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D0430" w14:textId="77777777" w:rsidR="00755FBB" w:rsidRPr="00755FBB" w:rsidRDefault="00755FBB" w:rsidP="004B4F7D">
      <w:pPr>
        <w:spacing w:before="100" w:beforeAutospacing="1" w:after="100" w:afterAutospacing="1" w:line="240" w:lineRule="auto"/>
        <w:jc w:val="center"/>
        <w:rPr>
          <w:rFonts w:ascii="Times New Roman" w:eastAsia="Times New Roman" w:hAnsi="Times New Roman" w:cs="Times New Roman"/>
          <w:sz w:val="32"/>
          <w:szCs w:val="32"/>
          <w:lang w:val="es-DO" w:eastAsia="en-GB"/>
        </w:rPr>
      </w:pPr>
      <w:r w:rsidRPr="00755FBB">
        <w:rPr>
          <w:rFonts w:ascii="Times New Roman" w:eastAsia="Times New Roman" w:hAnsi="Times New Roman" w:cs="Times New Roman"/>
          <w:b/>
          <w:bCs/>
          <w:sz w:val="32"/>
          <w:szCs w:val="32"/>
          <w:lang w:val="es-DO" w:eastAsia="en-GB"/>
        </w:rPr>
        <w:t>Los servidores públicos también impulsan la productividad y merecen un salario digno</w:t>
      </w:r>
    </w:p>
    <w:p w14:paraId="47CF11F1" w14:textId="77777777" w:rsidR="00861D42" w:rsidRPr="001F6202" w:rsidRDefault="00861D42" w:rsidP="00861D42">
      <w:pPr>
        <w:jc w:val="both"/>
        <w:rPr>
          <w:rFonts w:ascii="Times New Roman" w:hAnsi="Times New Roman" w:cs="Times New Roman"/>
          <w:sz w:val="24"/>
          <w:szCs w:val="24"/>
        </w:rPr>
      </w:pPr>
    </w:p>
    <w:p w14:paraId="6DF03851" w14:textId="77777777" w:rsidR="00861D42" w:rsidRPr="007441F6" w:rsidRDefault="00861D42" w:rsidP="00861D42">
      <w:pPr>
        <w:pStyle w:val="NormalWeb"/>
        <w:rPr>
          <w:shd w:val="clear" w:color="auto" w:fill="FFFFFF"/>
          <w:lang w:val="es-DO"/>
        </w:rPr>
      </w:pPr>
      <w:r w:rsidRPr="007441F6">
        <w:rPr>
          <w:b/>
          <w:bCs/>
          <w:shd w:val="clear" w:color="auto" w:fill="FFFFFF"/>
          <w:lang w:val="es-DO"/>
        </w:rPr>
        <w:t>Luis Holguín-Veras Martínez</w:t>
      </w:r>
      <w:r w:rsidRPr="007441F6">
        <w:rPr>
          <w:shd w:val="clear" w:color="auto" w:fill="FFFFFF"/>
          <w:lang w:val="es-DO"/>
        </w:rPr>
        <w:br/>
        <w:t>Psicólogo y Activista Social</w:t>
      </w:r>
    </w:p>
    <w:p w14:paraId="33AD7F9A" w14:textId="77777777" w:rsidR="00861D42" w:rsidRDefault="00861D42" w:rsidP="00861D42">
      <w:pPr>
        <w:spacing w:before="100" w:beforeAutospacing="1" w:after="100" w:afterAutospacing="1" w:line="240" w:lineRule="auto"/>
        <w:rPr>
          <w:rFonts w:ascii="Times New Roman" w:eastAsia="Times New Roman" w:hAnsi="Times New Roman" w:cs="Times New Roman"/>
          <w:sz w:val="24"/>
          <w:szCs w:val="24"/>
          <w:lang w:eastAsia="en-GB"/>
        </w:rPr>
      </w:pPr>
    </w:p>
    <w:p w14:paraId="7A481909" w14:textId="39A37B27" w:rsidR="00755FBB" w:rsidRP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En su pasada rendición de cuentas ante el Congreso Nacional, el presidente Luis Abinader destacó los avances en los salarios mínimos del sector privado, afirmando que, en agosto de 2020, el salario mínimo de las grandes empresas cubría el 83.2</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xml:space="preserve"> de la Canasta Básica del Quintil 1, mientras que en las medianas representaba un 57.2</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Al cierre de 2024, estos valores aumentaron a 90.1</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xml:space="preserve"> y 82.6</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respectivamente, reflejando el compromiso gubernamental con la dignificación del empleo y el bienestar de la población.</w:t>
      </w:r>
    </w:p>
    <w:p w14:paraId="3AF56A0D" w14:textId="77777777" w:rsidR="00755FBB" w:rsidRP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 xml:space="preserve">Sin duda, la revisión y el incremento de los salarios mínimos en el sector privado han sido logros significativos. Sin embargo, el </w:t>
      </w:r>
      <w:r w:rsidRPr="00755FBB">
        <w:rPr>
          <w:rFonts w:ascii="Times New Roman" w:eastAsia="Times New Roman" w:hAnsi="Times New Roman" w:cs="Times New Roman"/>
          <w:b/>
          <w:bCs/>
          <w:sz w:val="24"/>
          <w:szCs w:val="24"/>
          <w:lang w:val="es-DO" w:eastAsia="en-GB"/>
        </w:rPr>
        <w:t>Movimiento por las Pensiones de los Servidores Públicos (MOPESEP)</w:t>
      </w:r>
      <w:r w:rsidRPr="00755FBB">
        <w:rPr>
          <w:rFonts w:ascii="Times New Roman" w:eastAsia="Times New Roman" w:hAnsi="Times New Roman" w:cs="Times New Roman"/>
          <w:sz w:val="24"/>
          <w:szCs w:val="24"/>
          <w:lang w:val="es-DO" w:eastAsia="en-GB"/>
        </w:rPr>
        <w:t xml:space="preserve"> hace un llamado a la reflexión: los empleados del sector público de menores ingresos también necesitan y merecen mejoras salariales que les permitan enfrentar el aumento del costo de vida.</w:t>
      </w:r>
    </w:p>
    <w:p w14:paraId="32243754" w14:textId="209B158F" w:rsidR="00755FBB" w:rsidRDefault="00755FBB" w:rsidP="00675B30">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En los últimos seis años, el salario mínimo del sector privado no sectorizado ha sido ajustado en cinco ocasiones (2019, 2021, 2022, 2023 y 2024). Además, se ha anunciado un aumento del 20</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xml:space="preserve"> para 2025 y 2026. En contraste, el salario mínimo del sector público ha permanecido inalterado en RD$10,000 desde 2019, salvo excepciones en algunas instituciones, como el Ministerio de Hacienda, que </w:t>
      </w:r>
      <w:r w:rsidR="00C575A9">
        <w:rPr>
          <w:rFonts w:ascii="Times New Roman" w:eastAsia="Times New Roman" w:hAnsi="Times New Roman" w:cs="Times New Roman"/>
          <w:sz w:val="24"/>
          <w:szCs w:val="24"/>
          <w:lang w:val="es-DO" w:eastAsia="en-GB"/>
        </w:rPr>
        <w:t xml:space="preserve">en la </w:t>
      </w:r>
      <w:r w:rsidR="00C575A9" w:rsidRPr="007D02C4">
        <w:rPr>
          <w:rFonts w:ascii="Times New Roman" w:eastAsia="Times New Roman" w:hAnsi="Times New Roman" w:cs="Times New Roman"/>
          <w:sz w:val="24"/>
          <w:szCs w:val="24"/>
          <w:lang w:val="es-DO" w:eastAsia="en-GB"/>
        </w:rPr>
        <w:t>Nómina</w:t>
      </w:r>
      <w:r w:rsidR="00C575A9">
        <w:rPr>
          <w:rFonts w:ascii="Times New Roman" w:eastAsia="Times New Roman" w:hAnsi="Times New Roman" w:cs="Times New Roman"/>
          <w:sz w:val="24"/>
          <w:szCs w:val="24"/>
          <w:lang w:val="es-DO" w:eastAsia="en-GB"/>
        </w:rPr>
        <w:t xml:space="preserve"> de enero de 2025 presenta sueldos </w:t>
      </w:r>
      <w:r w:rsidRPr="00755FBB">
        <w:rPr>
          <w:rFonts w:ascii="Times New Roman" w:eastAsia="Times New Roman" w:hAnsi="Times New Roman" w:cs="Times New Roman"/>
          <w:sz w:val="24"/>
          <w:szCs w:val="24"/>
          <w:lang w:val="es-DO" w:eastAsia="en-GB"/>
        </w:rPr>
        <w:t>mínimo</w:t>
      </w:r>
      <w:r w:rsidR="00C575A9">
        <w:rPr>
          <w:rFonts w:ascii="Times New Roman" w:eastAsia="Times New Roman" w:hAnsi="Times New Roman" w:cs="Times New Roman"/>
          <w:sz w:val="24"/>
          <w:szCs w:val="24"/>
          <w:lang w:val="es-DO" w:eastAsia="en-GB"/>
        </w:rPr>
        <w:t>s</w:t>
      </w:r>
      <w:r w:rsidRPr="00755FBB">
        <w:rPr>
          <w:rFonts w:ascii="Times New Roman" w:eastAsia="Times New Roman" w:hAnsi="Times New Roman" w:cs="Times New Roman"/>
          <w:sz w:val="24"/>
          <w:szCs w:val="24"/>
          <w:lang w:val="es-DO" w:eastAsia="en-GB"/>
        </w:rPr>
        <w:t xml:space="preserve"> de RD$2</w:t>
      </w:r>
      <w:r w:rsidR="00675B30">
        <w:rPr>
          <w:rFonts w:ascii="Times New Roman" w:eastAsia="Times New Roman" w:hAnsi="Times New Roman" w:cs="Times New Roman"/>
          <w:sz w:val="24"/>
          <w:szCs w:val="24"/>
          <w:lang w:val="es-DO" w:eastAsia="en-GB"/>
        </w:rPr>
        <w:t>1</w:t>
      </w:r>
      <w:r w:rsidRPr="00755FBB">
        <w:rPr>
          <w:rFonts w:ascii="Times New Roman" w:eastAsia="Times New Roman" w:hAnsi="Times New Roman" w:cs="Times New Roman"/>
          <w:sz w:val="24"/>
          <w:szCs w:val="24"/>
          <w:lang w:val="es-DO" w:eastAsia="en-GB"/>
        </w:rPr>
        <w:t>,000</w:t>
      </w:r>
      <w:r w:rsidR="00675B30">
        <w:rPr>
          <w:rFonts w:ascii="Times New Roman" w:eastAsia="Times New Roman" w:hAnsi="Times New Roman" w:cs="Times New Roman"/>
          <w:sz w:val="24"/>
          <w:szCs w:val="24"/>
          <w:lang w:val="es-DO" w:eastAsia="en-GB"/>
        </w:rPr>
        <w:t xml:space="preserve"> a tres lavadores de vehículos, de RD$24,000.00 a otros dos mensajeros internos y de RD$25,000.00 a 74 servidores públicos que desempeñan los siguientes puestos: Auxiliar Administrativo I, </w:t>
      </w:r>
      <w:r w:rsidR="00675B30" w:rsidRPr="00675B30">
        <w:rPr>
          <w:rFonts w:ascii="Times New Roman" w:eastAsia="Times New Roman" w:hAnsi="Times New Roman" w:cs="Times New Roman"/>
          <w:sz w:val="24"/>
          <w:szCs w:val="24"/>
          <w:lang w:val="es-DO" w:eastAsia="en-GB"/>
        </w:rPr>
        <w:t>Auxiliar de Casinos y Juegos de Azar</w:t>
      </w:r>
      <w:r w:rsidR="00675B30">
        <w:rPr>
          <w:rFonts w:ascii="Times New Roman" w:eastAsia="Times New Roman" w:hAnsi="Times New Roman" w:cs="Times New Roman"/>
          <w:sz w:val="24"/>
          <w:szCs w:val="24"/>
          <w:lang w:val="es-DO" w:eastAsia="en-GB"/>
        </w:rPr>
        <w:t xml:space="preserve">, </w:t>
      </w:r>
      <w:r w:rsidR="00675B30" w:rsidRPr="00675B30">
        <w:rPr>
          <w:rFonts w:ascii="Times New Roman" w:eastAsia="Times New Roman" w:hAnsi="Times New Roman" w:cs="Times New Roman"/>
          <w:sz w:val="24"/>
          <w:szCs w:val="24"/>
          <w:lang w:val="es-DO" w:eastAsia="en-GB"/>
        </w:rPr>
        <w:t>Camarero</w:t>
      </w:r>
      <w:r w:rsidR="00675B30">
        <w:rPr>
          <w:rFonts w:ascii="Times New Roman" w:eastAsia="Times New Roman" w:hAnsi="Times New Roman" w:cs="Times New Roman"/>
          <w:sz w:val="24"/>
          <w:szCs w:val="24"/>
          <w:lang w:val="es-DO" w:eastAsia="en-GB"/>
        </w:rPr>
        <w:t xml:space="preserve">, </w:t>
      </w:r>
      <w:r w:rsidR="00675B30" w:rsidRPr="00675B30">
        <w:rPr>
          <w:rFonts w:ascii="Times New Roman" w:eastAsia="Times New Roman" w:hAnsi="Times New Roman" w:cs="Times New Roman"/>
          <w:sz w:val="24"/>
          <w:szCs w:val="24"/>
          <w:lang w:val="es-DO" w:eastAsia="en-GB"/>
        </w:rPr>
        <w:t>Conserje</w:t>
      </w:r>
      <w:r w:rsidR="00675B30">
        <w:rPr>
          <w:rFonts w:ascii="Times New Roman" w:eastAsia="Times New Roman" w:hAnsi="Times New Roman" w:cs="Times New Roman"/>
          <w:sz w:val="24"/>
          <w:szCs w:val="24"/>
          <w:lang w:val="es-DO" w:eastAsia="en-GB"/>
        </w:rPr>
        <w:t xml:space="preserve">, </w:t>
      </w:r>
      <w:r w:rsidR="00675B30" w:rsidRPr="00675B30">
        <w:rPr>
          <w:rFonts w:ascii="Times New Roman" w:eastAsia="Times New Roman" w:hAnsi="Times New Roman" w:cs="Times New Roman"/>
          <w:sz w:val="24"/>
          <w:szCs w:val="24"/>
          <w:lang w:val="es-DO" w:eastAsia="en-GB"/>
        </w:rPr>
        <w:t>Operador Central Telefónica</w:t>
      </w:r>
      <w:r w:rsidRPr="00755FBB">
        <w:rPr>
          <w:rFonts w:ascii="Times New Roman" w:eastAsia="Times New Roman" w:hAnsi="Times New Roman" w:cs="Times New Roman"/>
          <w:sz w:val="24"/>
          <w:szCs w:val="24"/>
          <w:lang w:val="es-DO" w:eastAsia="en-GB"/>
        </w:rPr>
        <w:t>.</w:t>
      </w:r>
      <w:r w:rsidR="007D02C4">
        <w:rPr>
          <w:rFonts w:ascii="Times New Roman" w:eastAsia="Times New Roman" w:hAnsi="Times New Roman" w:cs="Times New Roman"/>
          <w:sz w:val="24"/>
          <w:szCs w:val="24"/>
          <w:lang w:val="es-DO" w:eastAsia="en-GB"/>
        </w:rPr>
        <w:t xml:space="preserve">  La Gráfica 1 muestra </w:t>
      </w:r>
      <w:r w:rsidR="0036414E">
        <w:rPr>
          <w:rFonts w:ascii="Times New Roman" w:eastAsia="Times New Roman" w:hAnsi="Times New Roman" w:cs="Times New Roman"/>
          <w:sz w:val="24"/>
          <w:szCs w:val="24"/>
          <w:lang w:val="es-DO" w:eastAsia="en-GB"/>
        </w:rPr>
        <w:t xml:space="preserve">cómo han evolucionado </w:t>
      </w:r>
      <w:r w:rsidR="00866AAE">
        <w:rPr>
          <w:rFonts w:ascii="Times New Roman" w:eastAsia="Times New Roman" w:hAnsi="Times New Roman" w:cs="Times New Roman"/>
          <w:sz w:val="24"/>
          <w:szCs w:val="24"/>
          <w:lang w:val="es-DO" w:eastAsia="en-GB"/>
        </w:rPr>
        <w:t>los montos d</w:t>
      </w:r>
      <w:r w:rsidR="0036414E">
        <w:rPr>
          <w:rFonts w:ascii="Times New Roman" w:eastAsia="Times New Roman" w:hAnsi="Times New Roman" w:cs="Times New Roman"/>
          <w:sz w:val="24"/>
          <w:szCs w:val="24"/>
          <w:lang w:val="es-DO" w:eastAsia="en-GB"/>
        </w:rPr>
        <w:t>el salario mínimo del sector privado no sectorizado, así como el sueldo mínimo del sector público y el Quintil 1 del costo de la canasta básica familiar.</w:t>
      </w:r>
    </w:p>
    <w:p w14:paraId="282BC120" w14:textId="77777777" w:rsidR="00E910B3" w:rsidRPr="00755FBB" w:rsidRDefault="00E910B3" w:rsidP="00E910B3">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Mientras los salarios mínimos del sector privado han experimentado incrementos significativos, el sueldo mínimo del sector público se ha mantenido estancado, reduciendo su capacidad para cubrir necesidades básicas. Gráficamente, se observa una brecha creciente entre ambos sectores:</w:t>
      </w:r>
    </w:p>
    <w:p w14:paraId="319CB4C1" w14:textId="77777777" w:rsidR="00E910B3" w:rsidRPr="00755FBB" w:rsidRDefault="00E910B3" w:rsidP="00E910B3">
      <w:pPr>
        <w:numPr>
          <w:ilvl w:val="0"/>
          <w:numId w:val="2"/>
        </w:numPr>
        <w:spacing w:before="100" w:beforeAutospacing="1" w:line="240" w:lineRule="auto"/>
        <w:ind w:left="714" w:hanging="357"/>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b/>
          <w:bCs/>
          <w:sz w:val="24"/>
          <w:szCs w:val="24"/>
          <w:lang w:val="es-DO" w:eastAsia="en-GB"/>
        </w:rPr>
        <w:t>Salario mínimo de</w:t>
      </w:r>
      <w:r>
        <w:rPr>
          <w:rFonts w:ascii="Times New Roman" w:eastAsia="Times New Roman" w:hAnsi="Times New Roman" w:cs="Times New Roman"/>
          <w:b/>
          <w:bCs/>
          <w:sz w:val="24"/>
          <w:szCs w:val="24"/>
          <w:lang w:val="es-DO" w:eastAsia="en-GB"/>
        </w:rPr>
        <w:t>l sector privado no sectorizado</w:t>
      </w:r>
      <w:r w:rsidRPr="00755FBB">
        <w:rPr>
          <w:rFonts w:ascii="Times New Roman" w:eastAsia="Times New Roman" w:hAnsi="Times New Roman" w:cs="Times New Roman"/>
          <w:b/>
          <w:bCs/>
          <w:sz w:val="24"/>
          <w:szCs w:val="24"/>
          <w:lang w:val="es-DO" w:eastAsia="en-GB"/>
        </w:rPr>
        <w:t xml:space="preserve"> vs. Quintil 1</w:t>
      </w:r>
      <w:r w:rsidRPr="00755FBB">
        <w:rPr>
          <w:rFonts w:ascii="Times New Roman" w:eastAsia="Times New Roman" w:hAnsi="Times New Roman" w:cs="Times New Roman"/>
          <w:sz w:val="24"/>
          <w:szCs w:val="24"/>
          <w:lang w:val="es-DO" w:eastAsia="en-GB"/>
        </w:rPr>
        <w:t>: relación en constante mejora.</w:t>
      </w:r>
    </w:p>
    <w:p w14:paraId="63CF1891" w14:textId="77777777" w:rsidR="00E910B3" w:rsidRPr="00755FBB" w:rsidRDefault="00E910B3" w:rsidP="00E910B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b/>
          <w:bCs/>
          <w:sz w:val="24"/>
          <w:szCs w:val="24"/>
          <w:lang w:val="es-DO" w:eastAsia="en-GB"/>
        </w:rPr>
        <w:t>Salario mínimo del sector público vs. Quintil 1</w:t>
      </w:r>
      <w:r w:rsidRPr="00755FBB">
        <w:rPr>
          <w:rFonts w:ascii="Times New Roman" w:eastAsia="Times New Roman" w:hAnsi="Times New Roman" w:cs="Times New Roman"/>
          <w:sz w:val="24"/>
          <w:szCs w:val="24"/>
          <w:lang w:val="es-DO" w:eastAsia="en-GB"/>
        </w:rPr>
        <w:t>: relación en constante deterioro.</w:t>
      </w:r>
    </w:p>
    <w:p w14:paraId="1AEE6552" w14:textId="77777777" w:rsidR="00E910B3" w:rsidRDefault="00E910B3" w:rsidP="00E910B3">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Esto significa que cada año los servidores públicos con menores ingresos tienen mayor dificultad para costear bienes y servicios esenciales.</w:t>
      </w:r>
    </w:p>
    <w:p w14:paraId="448676F2" w14:textId="77777777" w:rsidR="00E910B3" w:rsidRDefault="00E910B3">
      <w:pPr>
        <w:rPr>
          <w:rFonts w:ascii="Times New Roman" w:eastAsia="Times New Roman" w:hAnsi="Times New Roman" w:cs="Times New Roman"/>
          <w:b/>
          <w:bCs/>
          <w:sz w:val="28"/>
          <w:szCs w:val="28"/>
          <w:lang w:val="es-DO" w:eastAsia="en-GB"/>
        </w:rPr>
      </w:pPr>
      <w:r>
        <w:rPr>
          <w:rFonts w:ascii="Times New Roman" w:eastAsia="Times New Roman" w:hAnsi="Times New Roman" w:cs="Times New Roman"/>
          <w:b/>
          <w:bCs/>
          <w:sz w:val="28"/>
          <w:szCs w:val="28"/>
          <w:lang w:val="es-DO" w:eastAsia="en-GB"/>
        </w:rPr>
        <w:br w:type="page"/>
      </w:r>
    </w:p>
    <w:p w14:paraId="42B7937A" w14:textId="61C1026A" w:rsidR="0036414E" w:rsidRPr="00861D42" w:rsidRDefault="0036414E" w:rsidP="0036414E">
      <w:pPr>
        <w:spacing w:before="100" w:beforeAutospacing="1" w:after="100" w:afterAutospacing="1" w:line="240" w:lineRule="auto"/>
        <w:jc w:val="center"/>
        <w:rPr>
          <w:rFonts w:ascii="Times New Roman" w:eastAsia="Times New Roman" w:hAnsi="Times New Roman" w:cs="Times New Roman"/>
          <w:b/>
          <w:bCs/>
          <w:sz w:val="28"/>
          <w:szCs w:val="28"/>
          <w:lang w:val="es-DO" w:eastAsia="en-GB"/>
        </w:rPr>
      </w:pPr>
      <w:r w:rsidRPr="00861D42">
        <w:rPr>
          <w:rFonts w:ascii="Times New Roman" w:eastAsia="Times New Roman" w:hAnsi="Times New Roman" w:cs="Times New Roman"/>
          <w:b/>
          <w:bCs/>
          <w:sz w:val="28"/>
          <w:szCs w:val="28"/>
          <w:lang w:val="es-DO" w:eastAsia="en-GB"/>
        </w:rPr>
        <w:lastRenderedPageBreak/>
        <w:t>Gráfica 1</w:t>
      </w:r>
    </w:p>
    <w:p w14:paraId="117B80AC" w14:textId="669C6E02" w:rsidR="0036414E" w:rsidRDefault="0036414E" w:rsidP="0036414E">
      <w:pPr>
        <w:spacing w:before="100" w:beforeAutospacing="1" w:after="100" w:afterAutospacing="1" w:line="240" w:lineRule="auto"/>
        <w:jc w:val="center"/>
        <w:rPr>
          <w:rFonts w:ascii="Times New Roman" w:eastAsia="Times New Roman" w:hAnsi="Times New Roman" w:cs="Times New Roman"/>
          <w:b/>
          <w:bCs/>
          <w:sz w:val="24"/>
          <w:szCs w:val="24"/>
          <w:lang w:val="es-DO" w:eastAsia="en-GB"/>
        </w:rPr>
      </w:pPr>
      <w:r>
        <w:rPr>
          <w:rFonts w:ascii="Times New Roman" w:eastAsia="Times New Roman" w:hAnsi="Times New Roman" w:cs="Times New Roman"/>
          <w:b/>
          <w:bCs/>
          <w:noProof/>
          <w:sz w:val="24"/>
          <w:szCs w:val="24"/>
          <w:lang w:val="es-DO" w:eastAsia="en-GB"/>
        </w:rPr>
        <w:drawing>
          <wp:inline distT="0" distB="0" distL="0" distR="0" wp14:anchorId="4B867714" wp14:editId="2EA742C4">
            <wp:extent cx="5685907" cy="3305387"/>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8435" cy="3353363"/>
                    </a:xfrm>
                    <a:prstGeom prst="rect">
                      <a:avLst/>
                    </a:prstGeom>
                    <a:noFill/>
                  </pic:spPr>
                </pic:pic>
              </a:graphicData>
            </a:graphic>
          </wp:inline>
        </w:drawing>
      </w:r>
    </w:p>
    <w:p w14:paraId="5EBA4B74" w14:textId="77777777" w:rsidR="00755FBB" w:rsidRP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El Índice de Cobertura del Salario Mínimo mide qué porcentaje de la Canasta Básica Familiar (CBF) puede ser cubierto con el salario mínimo. Se interpreta de la siguiente manera:</w:t>
      </w:r>
    </w:p>
    <w:p w14:paraId="2BED7F54" w14:textId="7A080281" w:rsidR="00755FBB" w:rsidRPr="00755FBB" w:rsidRDefault="00675B30" w:rsidP="0036414E">
      <w:pPr>
        <w:numPr>
          <w:ilvl w:val="0"/>
          <w:numId w:val="1"/>
        </w:numPr>
        <w:tabs>
          <w:tab w:val="left" w:pos="3828"/>
        </w:tabs>
        <w:spacing w:before="100" w:beforeAutospacing="1" w:after="100" w:afterAutospacing="1" w:line="240" w:lineRule="auto"/>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Mayor o igual (</w:t>
      </w:r>
      <w:r w:rsidR="00755FBB" w:rsidRPr="00755FBB">
        <w:rPr>
          <w:rFonts w:ascii="Times New Roman" w:eastAsia="Times New Roman" w:hAnsi="Times New Roman" w:cs="Times New Roman"/>
          <w:b/>
          <w:bCs/>
          <w:sz w:val="24"/>
          <w:szCs w:val="24"/>
          <w:lang w:val="es-DO" w:eastAsia="en-GB"/>
        </w:rPr>
        <w:t>≥</w:t>
      </w:r>
      <w:r>
        <w:rPr>
          <w:rFonts w:ascii="Times New Roman" w:eastAsia="Times New Roman" w:hAnsi="Times New Roman" w:cs="Times New Roman"/>
          <w:b/>
          <w:bCs/>
          <w:sz w:val="24"/>
          <w:szCs w:val="24"/>
          <w:lang w:val="es-DO" w:eastAsia="en-GB"/>
        </w:rPr>
        <w:t>) que</w:t>
      </w:r>
      <w:r w:rsidR="00755FBB" w:rsidRPr="00755FBB">
        <w:rPr>
          <w:rFonts w:ascii="Times New Roman" w:eastAsia="Times New Roman" w:hAnsi="Times New Roman" w:cs="Times New Roman"/>
          <w:b/>
          <w:bCs/>
          <w:sz w:val="24"/>
          <w:szCs w:val="24"/>
          <w:lang w:val="es-DO" w:eastAsia="en-GB"/>
        </w:rPr>
        <w:t xml:space="preserve"> 100</w:t>
      </w:r>
      <w:r w:rsidR="007D02C4">
        <w:rPr>
          <w:rFonts w:ascii="Times New Roman" w:eastAsia="Times New Roman" w:hAnsi="Times New Roman" w:cs="Times New Roman"/>
          <w:b/>
          <w:bCs/>
          <w:sz w:val="24"/>
          <w:szCs w:val="24"/>
          <w:lang w:val="es-DO" w:eastAsia="en-GB"/>
        </w:rPr>
        <w:t xml:space="preserve"> %</w:t>
      </w:r>
      <w:r w:rsidR="00755FBB" w:rsidRPr="00755FBB">
        <w:rPr>
          <w:rFonts w:ascii="Times New Roman" w:eastAsia="Times New Roman" w:hAnsi="Times New Roman" w:cs="Times New Roman"/>
          <w:sz w:val="24"/>
          <w:szCs w:val="24"/>
          <w:lang w:val="es-DO" w:eastAsia="en-GB"/>
        </w:rPr>
        <w:t>:</w:t>
      </w:r>
      <w:r w:rsidR="008F3F68">
        <w:rPr>
          <w:rFonts w:ascii="Times New Roman" w:eastAsia="Times New Roman" w:hAnsi="Times New Roman" w:cs="Times New Roman"/>
          <w:sz w:val="24"/>
          <w:szCs w:val="24"/>
          <w:lang w:val="es-DO" w:eastAsia="en-GB"/>
        </w:rPr>
        <w:t xml:space="preserve"> </w:t>
      </w:r>
      <w:r w:rsidR="00755FBB" w:rsidRPr="00755FBB">
        <w:rPr>
          <w:rFonts w:ascii="Times New Roman" w:eastAsia="Times New Roman" w:hAnsi="Times New Roman" w:cs="Times New Roman"/>
          <w:sz w:val="24"/>
          <w:szCs w:val="24"/>
          <w:lang w:val="es-DO" w:eastAsia="en-GB"/>
        </w:rPr>
        <w:t>suficiente para cubrir la canasta básica.</w:t>
      </w:r>
    </w:p>
    <w:p w14:paraId="513A795B" w14:textId="44DCB558" w:rsidR="00755FBB" w:rsidRPr="00755FBB" w:rsidRDefault="00675B30" w:rsidP="0036414E">
      <w:pPr>
        <w:numPr>
          <w:ilvl w:val="0"/>
          <w:numId w:val="1"/>
        </w:numPr>
        <w:tabs>
          <w:tab w:val="clear" w:pos="720"/>
        </w:tabs>
        <w:spacing w:before="100" w:beforeAutospacing="1" w:after="100" w:afterAutospacing="1" w:line="240" w:lineRule="auto"/>
        <w:ind w:left="709" w:hanging="349"/>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Menor (</w:t>
      </w:r>
      <w:r w:rsidR="00755FBB" w:rsidRPr="00755FBB">
        <w:rPr>
          <w:rFonts w:ascii="Times New Roman" w:eastAsia="Times New Roman" w:hAnsi="Times New Roman" w:cs="Times New Roman"/>
          <w:b/>
          <w:bCs/>
          <w:sz w:val="24"/>
          <w:szCs w:val="24"/>
          <w:lang w:val="es-DO" w:eastAsia="en-GB"/>
        </w:rPr>
        <w:t>&lt;</w:t>
      </w:r>
      <w:r>
        <w:rPr>
          <w:rFonts w:ascii="Times New Roman" w:eastAsia="Times New Roman" w:hAnsi="Times New Roman" w:cs="Times New Roman"/>
          <w:b/>
          <w:bCs/>
          <w:sz w:val="24"/>
          <w:szCs w:val="24"/>
          <w:lang w:val="es-DO" w:eastAsia="en-GB"/>
        </w:rPr>
        <w:t>)</w:t>
      </w:r>
      <w:r w:rsidR="00755FBB" w:rsidRPr="00755FBB">
        <w:rPr>
          <w:rFonts w:ascii="Times New Roman" w:eastAsia="Times New Roman" w:hAnsi="Times New Roman" w:cs="Times New Roman"/>
          <w:b/>
          <w:bCs/>
          <w:sz w:val="24"/>
          <w:szCs w:val="24"/>
          <w:lang w:val="es-DO" w:eastAsia="en-GB"/>
        </w:rPr>
        <w:t xml:space="preserve"> </w:t>
      </w:r>
      <w:r>
        <w:rPr>
          <w:rFonts w:ascii="Times New Roman" w:eastAsia="Times New Roman" w:hAnsi="Times New Roman" w:cs="Times New Roman"/>
          <w:b/>
          <w:bCs/>
          <w:sz w:val="24"/>
          <w:szCs w:val="24"/>
          <w:lang w:val="es-DO" w:eastAsia="en-GB"/>
        </w:rPr>
        <w:t xml:space="preserve">que </w:t>
      </w:r>
      <w:r w:rsidR="00755FBB" w:rsidRPr="00755FBB">
        <w:rPr>
          <w:rFonts w:ascii="Times New Roman" w:eastAsia="Times New Roman" w:hAnsi="Times New Roman" w:cs="Times New Roman"/>
          <w:b/>
          <w:bCs/>
          <w:sz w:val="24"/>
          <w:szCs w:val="24"/>
          <w:lang w:val="es-DO" w:eastAsia="en-GB"/>
        </w:rPr>
        <w:t>100</w:t>
      </w:r>
      <w:r w:rsidR="007D02C4">
        <w:rPr>
          <w:rFonts w:ascii="Times New Roman" w:eastAsia="Times New Roman" w:hAnsi="Times New Roman" w:cs="Times New Roman"/>
          <w:b/>
          <w:bCs/>
          <w:sz w:val="24"/>
          <w:szCs w:val="24"/>
          <w:lang w:val="es-DO" w:eastAsia="en-GB"/>
        </w:rPr>
        <w:t xml:space="preserve"> %</w:t>
      </w:r>
      <w:r w:rsidR="00755FBB" w:rsidRPr="00755FBB">
        <w:rPr>
          <w:rFonts w:ascii="Times New Roman" w:eastAsia="Times New Roman" w:hAnsi="Times New Roman" w:cs="Times New Roman"/>
          <w:sz w:val="24"/>
          <w:szCs w:val="24"/>
          <w:lang w:val="es-DO" w:eastAsia="en-GB"/>
        </w:rPr>
        <w:t>: insuficiente, los trabajadores necesitan ingresos adicionales.</w:t>
      </w:r>
    </w:p>
    <w:p w14:paraId="4B4E689B" w14:textId="5FE751FB" w:rsidR="00755FBB" w:rsidRPr="00755FBB" w:rsidRDefault="00675B30" w:rsidP="00755FB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Menor (</w:t>
      </w:r>
      <w:r w:rsidR="00755FBB" w:rsidRPr="00755FBB">
        <w:rPr>
          <w:rFonts w:ascii="Times New Roman" w:eastAsia="Times New Roman" w:hAnsi="Times New Roman" w:cs="Times New Roman"/>
          <w:b/>
          <w:bCs/>
          <w:sz w:val="24"/>
          <w:szCs w:val="24"/>
          <w:lang w:val="es-DO" w:eastAsia="en-GB"/>
        </w:rPr>
        <w:t>&lt;</w:t>
      </w:r>
      <w:r>
        <w:rPr>
          <w:rFonts w:ascii="Times New Roman" w:eastAsia="Times New Roman" w:hAnsi="Times New Roman" w:cs="Times New Roman"/>
          <w:b/>
          <w:bCs/>
          <w:sz w:val="24"/>
          <w:szCs w:val="24"/>
          <w:lang w:val="es-DO" w:eastAsia="en-GB"/>
        </w:rPr>
        <w:t>)</w:t>
      </w:r>
      <w:r w:rsidR="00755FBB" w:rsidRPr="00755FBB">
        <w:rPr>
          <w:rFonts w:ascii="Times New Roman" w:eastAsia="Times New Roman" w:hAnsi="Times New Roman" w:cs="Times New Roman"/>
          <w:b/>
          <w:bCs/>
          <w:sz w:val="24"/>
          <w:szCs w:val="24"/>
          <w:lang w:val="es-DO" w:eastAsia="en-GB"/>
        </w:rPr>
        <w:t xml:space="preserve"> </w:t>
      </w:r>
      <w:r>
        <w:rPr>
          <w:rFonts w:ascii="Times New Roman" w:eastAsia="Times New Roman" w:hAnsi="Times New Roman" w:cs="Times New Roman"/>
          <w:b/>
          <w:bCs/>
          <w:sz w:val="24"/>
          <w:szCs w:val="24"/>
          <w:lang w:val="es-DO" w:eastAsia="en-GB"/>
        </w:rPr>
        <w:t xml:space="preserve">que </w:t>
      </w:r>
      <w:r w:rsidR="00755FBB" w:rsidRPr="00755FBB">
        <w:rPr>
          <w:rFonts w:ascii="Times New Roman" w:eastAsia="Times New Roman" w:hAnsi="Times New Roman" w:cs="Times New Roman"/>
          <w:b/>
          <w:bCs/>
          <w:sz w:val="24"/>
          <w:szCs w:val="24"/>
          <w:lang w:val="es-DO" w:eastAsia="en-GB"/>
        </w:rPr>
        <w:t>50</w:t>
      </w:r>
      <w:r w:rsidR="007D02C4">
        <w:rPr>
          <w:rFonts w:ascii="Times New Roman" w:eastAsia="Times New Roman" w:hAnsi="Times New Roman" w:cs="Times New Roman"/>
          <w:b/>
          <w:bCs/>
          <w:sz w:val="24"/>
          <w:szCs w:val="24"/>
          <w:lang w:val="es-DO" w:eastAsia="en-GB"/>
        </w:rPr>
        <w:t xml:space="preserve"> %</w:t>
      </w:r>
      <w:r w:rsidR="00755FBB" w:rsidRPr="00755FBB">
        <w:rPr>
          <w:rFonts w:ascii="Times New Roman" w:eastAsia="Times New Roman" w:hAnsi="Times New Roman" w:cs="Times New Roman"/>
          <w:sz w:val="24"/>
          <w:szCs w:val="24"/>
          <w:lang w:val="es-DO" w:eastAsia="en-GB"/>
        </w:rPr>
        <w:t>: alto riesgo de pobreza y dificultad para cubrir necesidades esenciales.</w:t>
      </w:r>
    </w:p>
    <w:p w14:paraId="1A0FE644" w14:textId="6FD41664" w:rsid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En 2019, el s</w:t>
      </w:r>
      <w:r w:rsidR="00866AAE">
        <w:rPr>
          <w:rFonts w:ascii="Times New Roman" w:eastAsia="Times New Roman" w:hAnsi="Times New Roman" w:cs="Times New Roman"/>
          <w:sz w:val="24"/>
          <w:szCs w:val="24"/>
          <w:lang w:val="es-DO" w:eastAsia="en-GB"/>
        </w:rPr>
        <w:t>ueld</w:t>
      </w:r>
      <w:r w:rsidRPr="00755FBB">
        <w:rPr>
          <w:rFonts w:ascii="Times New Roman" w:eastAsia="Times New Roman" w:hAnsi="Times New Roman" w:cs="Times New Roman"/>
          <w:sz w:val="24"/>
          <w:szCs w:val="24"/>
          <w:lang w:val="es-DO" w:eastAsia="en-GB"/>
        </w:rPr>
        <w:t>o mínimo del sector público cubría el 50.08</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xml:space="preserve"> del costo de la CBF </w:t>
      </w:r>
      <w:r w:rsidR="00866AAE">
        <w:rPr>
          <w:rFonts w:ascii="Times New Roman" w:eastAsia="Times New Roman" w:hAnsi="Times New Roman" w:cs="Times New Roman"/>
          <w:sz w:val="24"/>
          <w:szCs w:val="24"/>
          <w:lang w:val="es-DO" w:eastAsia="en-GB"/>
        </w:rPr>
        <w:t xml:space="preserve">en </w:t>
      </w:r>
      <w:r w:rsidRPr="00755FBB">
        <w:rPr>
          <w:rFonts w:ascii="Times New Roman" w:eastAsia="Times New Roman" w:hAnsi="Times New Roman" w:cs="Times New Roman"/>
          <w:sz w:val="24"/>
          <w:szCs w:val="24"/>
          <w:lang w:val="es-DO" w:eastAsia="en-GB"/>
        </w:rPr>
        <w:t>el Quintil 1</w:t>
      </w:r>
      <w:r w:rsidR="00866AAE">
        <w:rPr>
          <w:rFonts w:ascii="Times New Roman" w:eastAsia="Times New Roman" w:hAnsi="Times New Roman" w:cs="Times New Roman"/>
          <w:sz w:val="24"/>
          <w:szCs w:val="24"/>
          <w:lang w:val="es-DO" w:eastAsia="en-GB"/>
        </w:rPr>
        <w:t>, es decir que correspondía a un índice de cobertura de insuficiente y que los trabajadores con este sueldo, necesitan ingresos adicionales para cubrir el costo de la C</w:t>
      </w:r>
      <w:r w:rsidR="0043214E">
        <w:rPr>
          <w:rFonts w:ascii="Times New Roman" w:eastAsia="Times New Roman" w:hAnsi="Times New Roman" w:cs="Times New Roman"/>
          <w:sz w:val="24"/>
          <w:szCs w:val="24"/>
          <w:lang w:val="es-DO" w:eastAsia="en-GB"/>
        </w:rPr>
        <w:t>BF</w:t>
      </w:r>
      <w:r w:rsidRPr="00755FBB">
        <w:rPr>
          <w:rFonts w:ascii="Times New Roman" w:eastAsia="Times New Roman" w:hAnsi="Times New Roman" w:cs="Times New Roman"/>
          <w:sz w:val="24"/>
          <w:szCs w:val="24"/>
          <w:lang w:val="es-DO" w:eastAsia="en-GB"/>
        </w:rPr>
        <w:t>. Para 2024,</w:t>
      </w:r>
      <w:r w:rsidR="0043214E">
        <w:rPr>
          <w:rFonts w:ascii="Times New Roman" w:eastAsia="Times New Roman" w:hAnsi="Times New Roman" w:cs="Times New Roman"/>
          <w:sz w:val="24"/>
          <w:szCs w:val="24"/>
          <w:lang w:val="es-DO" w:eastAsia="en-GB"/>
        </w:rPr>
        <w:t xml:space="preserve"> </w:t>
      </w:r>
      <w:r w:rsidR="0043214E" w:rsidRPr="00755FBB">
        <w:rPr>
          <w:rFonts w:ascii="Times New Roman" w:eastAsia="Times New Roman" w:hAnsi="Times New Roman" w:cs="Times New Roman"/>
          <w:sz w:val="24"/>
          <w:szCs w:val="24"/>
          <w:lang w:val="es-DO" w:eastAsia="en-GB"/>
        </w:rPr>
        <w:t>el s</w:t>
      </w:r>
      <w:r w:rsidR="0043214E">
        <w:rPr>
          <w:rFonts w:ascii="Times New Roman" w:eastAsia="Times New Roman" w:hAnsi="Times New Roman" w:cs="Times New Roman"/>
          <w:sz w:val="24"/>
          <w:szCs w:val="24"/>
          <w:lang w:val="es-DO" w:eastAsia="en-GB"/>
        </w:rPr>
        <w:t>ueld</w:t>
      </w:r>
      <w:r w:rsidR="0043214E" w:rsidRPr="00755FBB">
        <w:rPr>
          <w:rFonts w:ascii="Times New Roman" w:eastAsia="Times New Roman" w:hAnsi="Times New Roman" w:cs="Times New Roman"/>
          <w:sz w:val="24"/>
          <w:szCs w:val="24"/>
          <w:lang w:val="es-DO" w:eastAsia="en-GB"/>
        </w:rPr>
        <w:t>o mínimo del sector público</w:t>
      </w:r>
      <w:r w:rsidRPr="00755FBB">
        <w:rPr>
          <w:rFonts w:ascii="Times New Roman" w:eastAsia="Times New Roman" w:hAnsi="Times New Roman" w:cs="Times New Roman"/>
          <w:sz w:val="24"/>
          <w:szCs w:val="24"/>
          <w:lang w:val="es-DO" w:eastAsia="en-GB"/>
        </w:rPr>
        <w:t xml:space="preserve"> ha caído a solo 37.19</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una reducción del 14.15</w:t>
      </w:r>
      <w:r w:rsidR="007D02C4">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xml:space="preserve"> en cinco años. Esta tendencia refleja una pérdida progresiva del poder adquisitivo de los servidores públicos frente al aumento del costo de vida</w:t>
      </w:r>
      <w:r w:rsidR="0043214E">
        <w:rPr>
          <w:rFonts w:ascii="Times New Roman" w:eastAsia="Times New Roman" w:hAnsi="Times New Roman" w:cs="Times New Roman"/>
          <w:sz w:val="24"/>
          <w:szCs w:val="24"/>
          <w:lang w:val="es-DO" w:eastAsia="en-GB"/>
        </w:rPr>
        <w:t>, expresado en la CBF</w:t>
      </w:r>
      <w:r w:rsidRPr="00755FBB">
        <w:rPr>
          <w:rFonts w:ascii="Times New Roman" w:eastAsia="Times New Roman" w:hAnsi="Times New Roman" w:cs="Times New Roman"/>
          <w:sz w:val="24"/>
          <w:szCs w:val="24"/>
          <w:lang w:val="es-DO" w:eastAsia="en-GB"/>
        </w:rPr>
        <w:t>.</w:t>
      </w:r>
    </w:p>
    <w:p w14:paraId="5CEDA663" w14:textId="7E9A6CCC" w:rsidR="00CC28C7" w:rsidRDefault="00CC28C7" w:rsidP="00CC28C7">
      <w:pPr>
        <w:jc w:val="both"/>
        <w:rPr>
          <w:rFonts w:ascii="Times New Roman" w:hAnsi="Times New Roman" w:cs="Times New Roman"/>
          <w:sz w:val="24"/>
          <w:szCs w:val="24"/>
          <w:lang w:val="es-DO"/>
        </w:rPr>
      </w:pPr>
      <w:r>
        <w:rPr>
          <w:rFonts w:ascii="Times New Roman" w:hAnsi="Times New Roman" w:cs="Times New Roman"/>
          <w:sz w:val="24"/>
          <w:szCs w:val="24"/>
          <w:lang w:val="es-DO"/>
        </w:rPr>
        <w:t xml:space="preserve">La </w:t>
      </w:r>
      <w:r>
        <w:rPr>
          <w:rFonts w:ascii="Times New Roman" w:hAnsi="Times New Roman" w:cs="Times New Roman"/>
          <w:sz w:val="24"/>
          <w:szCs w:val="24"/>
          <w:lang w:val="es-DO"/>
        </w:rPr>
        <w:t>Tabl</w:t>
      </w:r>
      <w:r>
        <w:rPr>
          <w:rFonts w:ascii="Times New Roman" w:hAnsi="Times New Roman" w:cs="Times New Roman"/>
          <w:sz w:val="24"/>
          <w:szCs w:val="24"/>
          <w:lang w:val="es-DO"/>
        </w:rPr>
        <w:t xml:space="preserve">a </w:t>
      </w:r>
      <w:r>
        <w:rPr>
          <w:rFonts w:ascii="Times New Roman" w:hAnsi="Times New Roman" w:cs="Times New Roman"/>
          <w:sz w:val="24"/>
          <w:szCs w:val="24"/>
          <w:lang w:val="es-DO"/>
        </w:rPr>
        <w:t>1</w:t>
      </w:r>
      <w:r>
        <w:rPr>
          <w:rFonts w:ascii="Times New Roman" w:hAnsi="Times New Roman" w:cs="Times New Roman"/>
          <w:sz w:val="24"/>
          <w:szCs w:val="24"/>
          <w:lang w:val="es-DO"/>
        </w:rPr>
        <w:t xml:space="preserve"> muestra </w:t>
      </w:r>
      <w:r>
        <w:rPr>
          <w:rFonts w:ascii="Times New Roman" w:hAnsi="Times New Roman" w:cs="Times New Roman"/>
          <w:sz w:val="24"/>
          <w:szCs w:val="24"/>
          <w:lang w:val="es-DO"/>
        </w:rPr>
        <w:t>los montos de los sueldos mínimos de cada uno de las Empresas del sector privado no sectorizado, así como el de</w:t>
      </w:r>
      <w:r>
        <w:rPr>
          <w:rFonts w:ascii="Times New Roman" w:hAnsi="Times New Roman" w:cs="Times New Roman"/>
          <w:sz w:val="24"/>
          <w:szCs w:val="24"/>
          <w:lang w:val="es-DO"/>
        </w:rPr>
        <w:t xml:space="preserve">l Sector Público </w:t>
      </w:r>
      <w:r>
        <w:rPr>
          <w:rFonts w:ascii="Times New Roman" w:hAnsi="Times New Roman" w:cs="Times New Roman"/>
          <w:sz w:val="24"/>
          <w:szCs w:val="24"/>
          <w:lang w:val="es-DO"/>
        </w:rPr>
        <w:t xml:space="preserve">y los porcentajes del </w:t>
      </w:r>
      <w:r w:rsidRPr="00776FD1">
        <w:rPr>
          <w:rFonts w:ascii="Times New Roman" w:hAnsi="Times New Roman" w:cs="Times New Roman"/>
          <w:sz w:val="24"/>
          <w:szCs w:val="24"/>
          <w:lang w:val="es-DO"/>
        </w:rPr>
        <w:t xml:space="preserve">Índice de Cobertura </w:t>
      </w:r>
      <w:r>
        <w:rPr>
          <w:rFonts w:ascii="Times New Roman" w:hAnsi="Times New Roman" w:cs="Times New Roman"/>
          <w:sz w:val="24"/>
          <w:szCs w:val="24"/>
          <w:lang w:val="es-DO"/>
        </w:rPr>
        <w:t xml:space="preserve">en </w:t>
      </w:r>
      <w:r>
        <w:rPr>
          <w:rFonts w:ascii="Times New Roman" w:hAnsi="Times New Roman" w:cs="Times New Roman"/>
          <w:sz w:val="24"/>
          <w:szCs w:val="24"/>
          <w:lang w:val="es-DO"/>
        </w:rPr>
        <w:t>rel</w:t>
      </w:r>
      <w:r>
        <w:rPr>
          <w:rFonts w:ascii="Times New Roman" w:hAnsi="Times New Roman" w:cs="Times New Roman"/>
          <w:sz w:val="24"/>
          <w:szCs w:val="24"/>
          <w:lang w:val="es-DO"/>
        </w:rPr>
        <w:t xml:space="preserve">ación </w:t>
      </w:r>
      <w:r>
        <w:rPr>
          <w:rFonts w:ascii="Times New Roman" w:hAnsi="Times New Roman" w:cs="Times New Roman"/>
          <w:sz w:val="24"/>
          <w:szCs w:val="24"/>
          <w:lang w:val="es-DO"/>
        </w:rPr>
        <w:t xml:space="preserve">con </w:t>
      </w:r>
      <w:r>
        <w:rPr>
          <w:rFonts w:ascii="Times New Roman" w:hAnsi="Times New Roman" w:cs="Times New Roman"/>
          <w:sz w:val="24"/>
          <w:szCs w:val="24"/>
          <w:lang w:val="es-DO"/>
        </w:rPr>
        <w:t>el Quintil 1 del Costo de la Canasta Básica Familiar.</w:t>
      </w:r>
    </w:p>
    <w:p w14:paraId="32360028" w14:textId="6B3A1048" w:rsidR="0036414E" w:rsidRDefault="00CC28C7" w:rsidP="0036414E">
      <w:pPr>
        <w:jc w:val="center"/>
        <w:rPr>
          <w:rFonts w:ascii="Times New Roman" w:hAnsi="Times New Roman" w:cs="Times New Roman"/>
          <w:b/>
          <w:bCs/>
          <w:sz w:val="28"/>
          <w:szCs w:val="28"/>
          <w:lang w:val="es-DO"/>
        </w:rPr>
      </w:pPr>
      <w:r>
        <w:rPr>
          <w:rFonts w:ascii="Times New Roman" w:hAnsi="Times New Roman" w:cs="Times New Roman"/>
          <w:b/>
          <w:bCs/>
          <w:sz w:val="28"/>
          <w:szCs w:val="28"/>
          <w:lang w:val="es-DO"/>
        </w:rPr>
        <w:t>Tabl</w:t>
      </w:r>
      <w:r w:rsidR="0036414E" w:rsidRPr="00861D42">
        <w:rPr>
          <w:rFonts w:ascii="Times New Roman" w:hAnsi="Times New Roman" w:cs="Times New Roman"/>
          <w:b/>
          <w:bCs/>
          <w:sz w:val="28"/>
          <w:szCs w:val="28"/>
          <w:lang w:val="es-DO"/>
        </w:rPr>
        <w:t xml:space="preserve">a </w:t>
      </w:r>
      <w:r>
        <w:rPr>
          <w:rFonts w:ascii="Times New Roman" w:hAnsi="Times New Roman" w:cs="Times New Roman"/>
          <w:b/>
          <w:bCs/>
          <w:sz w:val="28"/>
          <w:szCs w:val="28"/>
          <w:lang w:val="es-DO"/>
        </w:rPr>
        <w:t>1</w:t>
      </w:r>
    </w:p>
    <w:p w14:paraId="2822EA57" w14:textId="2E986B25" w:rsidR="00E910B3" w:rsidRDefault="00CC28C7" w:rsidP="0036414E">
      <w:pPr>
        <w:jc w:val="center"/>
        <w:rPr>
          <w:rFonts w:ascii="Times New Roman" w:hAnsi="Times New Roman" w:cs="Times New Roman"/>
          <w:b/>
          <w:bCs/>
          <w:sz w:val="28"/>
          <w:szCs w:val="28"/>
          <w:lang w:val="es-DO"/>
        </w:rPr>
      </w:pPr>
      <w:r w:rsidRPr="00CC28C7">
        <w:lastRenderedPageBreak/>
        <w:drawing>
          <wp:inline distT="0" distB="0" distL="0" distR="0" wp14:anchorId="5AA5B4B5" wp14:editId="2BF164EB">
            <wp:extent cx="5731510" cy="1842347"/>
            <wp:effectExtent l="0" t="0" r="254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7387" cy="1844236"/>
                    </a:xfrm>
                    <a:prstGeom prst="rect">
                      <a:avLst/>
                    </a:prstGeom>
                    <a:noFill/>
                    <a:ln>
                      <a:noFill/>
                    </a:ln>
                  </pic:spPr>
                </pic:pic>
              </a:graphicData>
            </a:graphic>
          </wp:inline>
        </w:drawing>
      </w:r>
    </w:p>
    <w:p w14:paraId="593693DA" w14:textId="331A97B5" w:rsidR="00CC28C7" w:rsidRDefault="00CC28C7" w:rsidP="00CC28C7">
      <w:pPr>
        <w:jc w:val="both"/>
        <w:rPr>
          <w:rFonts w:ascii="Times New Roman" w:hAnsi="Times New Roman" w:cs="Times New Roman"/>
          <w:sz w:val="24"/>
          <w:szCs w:val="24"/>
          <w:lang w:val="es-DO"/>
        </w:rPr>
      </w:pPr>
      <w:r>
        <w:rPr>
          <w:rFonts w:ascii="Times New Roman" w:hAnsi="Times New Roman" w:cs="Times New Roman"/>
          <w:sz w:val="24"/>
          <w:szCs w:val="24"/>
          <w:lang w:val="es-DO"/>
        </w:rPr>
        <w:t xml:space="preserve">La Gráfica 2 </w:t>
      </w:r>
      <w:r w:rsidR="0043214E">
        <w:rPr>
          <w:rFonts w:ascii="Times New Roman" w:hAnsi="Times New Roman" w:cs="Times New Roman"/>
          <w:sz w:val="24"/>
          <w:szCs w:val="24"/>
          <w:lang w:val="es-DO"/>
        </w:rPr>
        <w:t>presenta de</w:t>
      </w:r>
      <w:r>
        <w:rPr>
          <w:rFonts w:ascii="Times New Roman" w:hAnsi="Times New Roman" w:cs="Times New Roman"/>
          <w:sz w:val="24"/>
          <w:szCs w:val="24"/>
          <w:lang w:val="es-DO"/>
        </w:rPr>
        <w:t xml:space="preserve">l </w:t>
      </w:r>
      <w:r w:rsidRPr="00776FD1">
        <w:rPr>
          <w:rFonts w:ascii="Times New Roman" w:hAnsi="Times New Roman" w:cs="Times New Roman"/>
          <w:sz w:val="24"/>
          <w:szCs w:val="24"/>
          <w:lang w:val="es-DO"/>
        </w:rPr>
        <w:t>Índice de Cobertura del Salario Mínimo</w:t>
      </w:r>
      <w:r>
        <w:rPr>
          <w:rFonts w:ascii="Times New Roman" w:hAnsi="Times New Roman" w:cs="Times New Roman"/>
          <w:sz w:val="24"/>
          <w:szCs w:val="24"/>
          <w:lang w:val="es-DO"/>
        </w:rPr>
        <w:t xml:space="preserve"> del Sector </w:t>
      </w:r>
      <w:r w:rsidR="0096040B">
        <w:rPr>
          <w:rFonts w:ascii="Times New Roman" w:hAnsi="Times New Roman" w:cs="Times New Roman"/>
          <w:sz w:val="24"/>
          <w:szCs w:val="24"/>
          <w:lang w:val="es-DO"/>
        </w:rPr>
        <w:t xml:space="preserve">Privado No Sectorizado, así como del Sueldo Mínimo de Sector </w:t>
      </w:r>
      <w:r>
        <w:rPr>
          <w:rFonts w:ascii="Times New Roman" w:hAnsi="Times New Roman" w:cs="Times New Roman"/>
          <w:sz w:val="24"/>
          <w:szCs w:val="24"/>
          <w:lang w:val="es-DO"/>
        </w:rPr>
        <w:t>Público.</w:t>
      </w:r>
    </w:p>
    <w:p w14:paraId="5A0CF3DF" w14:textId="77777777" w:rsidR="00E910B3" w:rsidRDefault="00E910B3" w:rsidP="00E910B3">
      <w:pPr>
        <w:jc w:val="center"/>
        <w:rPr>
          <w:rFonts w:ascii="Times New Roman" w:hAnsi="Times New Roman" w:cs="Times New Roman"/>
          <w:b/>
          <w:bCs/>
          <w:sz w:val="28"/>
          <w:szCs w:val="28"/>
          <w:lang w:val="es-DO"/>
        </w:rPr>
      </w:pPr>
      <w:r w:rsidRPr="00861D42">
        <w:rPr>
          <w:rFonts w:ascii="Times New Roman" w:hAnsi="Times New Roman" w:cs="Times New Roman"/>
          <w:b/>
          <w:bCs/>
          <w:sz w:val="28"/>
          <w:szCs w:val="28"/>
          <w:lang w:val="es-DO"/>
        </w:rPr>
        <w:t>Gráfica 2</w:t>
      </w:r>
    </w:p>
    <w:p w14:paraId="5CB0C26A" w14:textId="041B92F2" w:rsidR="0036414E" w:rsidRDefault="0096040B" w:rsidP="0036414E">
      <w:pPr>
        <w:jc w:val="center"/>
        <w:rPr>
          <w:rFonts w:ascii="Times New Roman" w:hAnsi="Times New Roman" w:cs="Times New Roman"/>
          <w:sz w:val="24"/>
          <w:szCs w:val="24"/>
          <w:lang w:val="es-DO"/>
        </w:rPr>
      </w:pPr>
      <w:r>
        <w:rPr>
          <w:rFonts w:ascii="Times New Roman" w:hAnsi="Times New Roman" w:cs="Times New Roman"/>
          <w:noProof/>
          <w:sz w:val="24"/>
          <w:szCs w:val="24"/>
          <w:lang w:val="es-DO"/>
        </w:rPr>
        <w:drawing>
          <wp:inline distT="0" distB="0" distL="0" distR="0" wp14:anchorId="37B34602" wp14:editId="19C3B5A1">
            <wp:extent cx="4907915" cy="3975100"/>
            <wp:effectExtent l="0" t="0" r="6985"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07915" cy="3975100"/>
                    </a:xfrm>
                    <a:prstGeom prst="rect">
                      <a:avLst/>
                    </a:prstGeom>
                    <a:noFill/>
                  </pic:spPr>
                </pic:pic>
              </a:graphicData>
            </a:graphic>
          </wp:inline>
        </w:drawing>
      </w:r>
    </w:p>
    <w:p w14:paraId="451F6E8E" w14:textId="16EA7CDD" w:rsidR="00861D42" w:rsidRDefault="00861D42" w:rsidP="00861D42">
      <w:pPr>
        <w:spacing w:before="100" w:beforeAutospacing="1" w:after="100" w:afterAutospacing="1" w:line="240" w:lineRule="auto"/>
        <w:jc w:val="both"/>
        <w:rPr>
          <w:rFonts w:ascii="Times New Roman" w:hAnsi="Times New Roman" w:cs="Times New Roman"/>
          <w:sz w:val="24"/>
          <w:szCs w:val="24"/>
          <w:lang w:val="es-DO"/>
        </w:rPr>
      </w:pPr>
      <w:r>
        <w:rPr>
          <w:rFonts w:ascii="Times New Roman" w:hAnsi="Times New Roman" w:cs="Times New Roman"/>
          <w:sz w:val="24"/>
          <w:szCs w:val="24"/>
          <w:lang w:val="es-DO"/>
        </w:rPr>
        <w:t xml:space="preserve">Aunque </w:t>
      </w:r>
      <w:r w:rsidR="0096040B">
        <w:rPr>
          <w:rFonts w:ascii="Times New Roman" w:hAnsi="Times New Roman" w:cs="Times New Roman"/>
          <w:sz w:val="24"/>
          <w:szCs w:val="24"/>
          <w:lang w:val="es-DO"/>
        </w:rPr>
        <w:t xml:space="preserve">en algunos </w:t>
      </w:r>
      <w:r>
        <w:rPr>
          <w:rFonts w:ascii="Times New Roman" w:hAnsi="Times New Roman" w:cs="Times New Roman"/>
          <w:sz w:val="24"/>
          <w:szCs w:val="24"/>
          <w:lang w:val="es-DO"/>
        </w:rPr>
        <w:t xml:space="preserve">años hubo </w:t>
      </w:r>
      <w:r w:rsidR="0096040B">
        <w:rPr>
          <w:rFonts w:ascii="Times New Roman" w:hAnsi="Times New Roman" w:cs="Times New Roman"/>
          <w:sz w:val="24"/>
          <w:szCs w:val="24"/>
          <w:lang w:val="es-DO"/>
        </w:rPr>
        <w:t>cierto</w:t>
      </w:r>
      <w:r>
        <w:rPr>
          <w:rFonts w:ascii="Times New Roman" w:hAnsi="Times New Roman" w:cs="Times New Roman"/>
          <w:sz w:val="24"/>
          <w:szCs w:val="24"/>
          <w:lang w:val="es-DO"/>
        </w:rPr>
        <w:t xml:space="preserve"> decrecimiento del Índice de Cobertura en algunos de los tipos de empresas, se puede apreciar en general </w:t>
      </w:r>
      <w:r w:rsidR="0043214E">
        <w:rPr>
          <w:rFonts w:ascii="Times New Roman" w:hAnsi="Times New Roman" w:cs="Times New Roman"/>
          <w:sz w:val="24"/>
          <w:szCs w:val="24"/>
          <w:lang w:val="es-DO"/>
        </w:rPr>
        <w:t>un</w:t>
      </w:r>
      <w:r>
        <w:rPr>
          <w:rFonts w:ascii="Times New Roman" w:hAnsi="Times New Roman" w:cs="Times New Roman"/>
          <w:sz w:val="24"/>
          <w:szCs w:val="24"/>
          <w:lang w:val="es-DO"/>
        </w:rPr>
        <w:t xml:space="preserve">a tendencia a </w:t>
      </w:r>
      <w:r w:rsidR="0043214E">
        <w:rPr>
          <w:rFonts w:ascii="Times New Roman" w:hAnsi="Times New Roman" w:cs="Times New Roman"/>
          <w:sz w:val="24"/>
          <w:szCs w:val="24"/>
          <w:lang w:val="es-DO"/>
        </w:rPr>
        <w:t>l</w:t>
      </w:r>
      <w:r>
        <w:rPr>
          <w:rFonts w:ascii="Times New Roman" w:hAnsi="Times New Roman" w:cs="Times New Roman"/>
          <w:sz w:val="24"/>
          <w:szCs w:val="24"/>
          <w:lang w:val="es-DO"/>
        </w:rPr>
        <w:t>a mejora constante en la cobertura.</w:t>
      </w:r>
    </w:p>
    <w:p w14:paraId="4EC4B59C" w14:textId="260C3709" w:rsidR="0096040B" w:rsidRDefault="0096040B" w:rsidP="00861D42">
      <w:pPr>
        <w:spacing w:before="100" w:beforeAutospacing="1" w:after="100" w:afterAutospacing="1" w:line="240" w:lineRule="auto"/>
        <w:jc w:val="both"/>
        <w:rPr>
          <w:rFonts w:ascii="Times New Roman" w:hAnsi="Times New Roman" w:cs="Times New Roman"/>
          <w:sz w:val="24"/>
          <w:szCs w:val="24"/>
          <w:lang w:val="es-DO"/>
        </w:rPr>
      </w:pPr>
      <w:r>
        <w:rPr>
          <w:rFonts w:ascii="Times New Roman" w:hAnsi="Times New Roman" w:cs="Times New Roman"/>
          <w:sz w:val="24"/>
          <w:szCs w:val="24"/>
          <w:lang w:val="es-DO"/>
        </w:rPr>
        <w:t>En el caso del Sueldo Mínimo del Sector Público, la cobertura ha tenido una tendencia sostenida de un marcado decrecimiento, esto ocasionado en que el Sueldo mínimo del sector público se ha mantenido estático desde el año 2019, mientras que el Costo de la Canasta Familiar ha ido subiendo de forma sostenida.</w:t>
      </w:r>
    </w:p>
    <w:p w14:paraId="0BD624EB" w14:textId="6AEBEBF0" w:rsidR="00C02D35" w:rsidRDefault="00C02D35" w:rsidP="00C02D35">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En 2019, el salario mínimo del sector público cubría el 50.08</w:t>
      </w:r>
      <w:r>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xml:space="preserve"> del costo de la CBF del Quintil 1. Para 2024, ha caído a solo 37.19</w:t>
      </w:r>
      <w:r>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una reducción del 14.15</w:t>
      </w:r>
      <w:r>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 xml:space="preserve"> en cinco años. Esta tendencia </w:t>
      </w:r>
      <w:r w:rsidRPr="00755FBB">
        <w:rPr>
          <w:rFonts w:ascii="Times New Roman" w:eastAsia="Times New Roman" w:hAnsi="Times New Roman" w:cs="Times New Roman"/>
          <w:sz w:val="24"/>
          <w:szCs w:val="24"/>
          <w:lang w:val="es-DO" w:eastAsia="en-GB"/>
        </w:rPr>
        <w:lastRenderedPageBreak/>
        <w:t>refleja una pérdida progresiva del poder adquisitivo de los servidores frente al aumento del costo de vida.</w:t>
      </w:r>
    </w:p>
    <w:p w14:paraId="20740704" w14:textId="1DFD779A" w:rsidR="00755FBB" w:rsidRP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Un aumento en el salario mínimo del sector público traería beneficios concretos:</w:t>
      </w:r>
    </w:p>
    <w:p w14:paraId="1E3DE0EC" w14:textId="19069996" w:rsidR="00755FBB" w:rsidRPr="00755FBB" w:rsidRDefault="00861D42" w:rsidP="00861D42">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 xml:space="preserve">1. </w:t>
      </w:r>
      <w:r w:rsidR="00755FBB" w:rsidRPr="00755FBB">
        <w:rPr>
          <w:rFonts w:ascii="Times New Roman" w:eastAsia="Times New Roman" w:hAnsi="Times New Roman" w:cs="Times New Roman"/>
          <w:b/>
          <w:bCs/>
          <w:sz w:val="24"/>
          <w:szCs w:val="24"/>
          <w:lang w:val="es-DO" w:eastAsia="en-GB"/>
        </w:rPr>
        <w:t>Mejora en la calidad de vida</w:t>
      </w:r>
      <w:r w:rsidR="00755FBB" w:rsidRPr="00755FBB">
        <w:rPr>
          <w:rFonts w:ascii="Times New Roman" w:eastAsia="Times New Roman" w:hAnsi="Times New Roman" w:cs="Times New Roman"/>
          <w:sz w:val="24"/>
          <w:szCs w:val="24"/>
          <w:lang w:val="es-DO" w:eastAsia="en-GB"/>
        </w:rPr>
        <w:t>: permitiría a los servidores públicos acceder a más bienes y servicios esenciales, reduciendo la precariedad y mejorando su bienestar.</w:t>
      </w:r>
    </w:p>
    <w:p w14:paraId="46EA879D" w14:textId="6CF7CAFD" w:rsidR="00755FBB" w:rsidRPr="00755FBB" w:rsidRDefault="00861D42" w:rsidP="00861D42">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 xml:space="preserve">2. </w:t>
      </w:r>
      <w:r w:rsidR="00755FBB" w:rsidRPr="00755FBB">
        <w:rPr>
          <w:rFonts w:ascii="Times New Roman" w:eastAsia="Times New Roman" w:hAnsi="Times New Roman" w:cs="Times New Roman"/>
          <w:b/>
          <w:bCs/>
          <w:sz w:val="24"/>
          <w:szCs w:val="24"/>
          <w:lang w:val="es-DO" w:eastAsia="en-GB"/>
        </w:rPr>
        <w:t>Impulso a la economía</w:t>
      </w:r>
      <w:r w:rsidR="00755FBB" w:rsidRPr="00755FBB">
        <w:rPr>
          <w:rFonts w:ascii="Times New Roman" w:eastAsia="Times New Roman" w:hAnsi="Times New Roman" w:cs="Times New Roman"/>
          <w:sz w:val="24"/>
          <w:szCs w:val="24"/>
          <w:lang w:val="es-DO" w:eastAsia="en-GB"/>
        </w:rPr>
        <w:t>: con más ingresos disponibles, los trabajadores aumentarían su consumo, beneficiando al comercio, la industria y los servicios.</w:t>
      </w:r>
    </w:p>
    <w:p w14:paraId="2E616F9F" w14:textId="7618427D" w:rsidR="00755FBB" w:rsidRPr="00755FBB" w:rsidRDefault="00861D42" w:rsidP="00861D42">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 xml:space="preserve">3. </w:t>
      </w:r>
      <w:r w:rsidR="00755FBB" w:rsidRPr="00755FBB">
        <w:rPr>
          <w:rFonts w:ascii="Times New Roman" w:eastAsia="Times New Roman" w:hAnsi="Times New Roman" w:cs="Times New Roman"/>
          <w:b/>
          <w:bCs/>
          <w:sz w:val="24"/>
          <w:szCs w:val="24"/>
          <w:lang w:val="es-DO" w:eastAsia="en-GB"/>
        </w:rPr>
        <w:t>Reducción de la desigualdad</w:t>
      </w:r>
      <w:r w:rsidR="00755FBB" w:rsidRPr="00755FBB">
        <w:rPr>
          <w:rFonts w:ascii="Times New Roman" w:eastAsia="Times New Roman" w:hAnsi="Times New Roman" w:cs="Times New Roman"/>
          <w:sz w:val="24"/>
          <w:szCs w:val="24"/>
          <w:lang w:val="es-DO" w:eastAsia="en-GB"/>
        </w:rPr>
        <w:t>: ayudaría a cerrar la brecha salarial entre el sector público y privado, promoviendo mayor equidad social.</w:t>
      </w:r>
    </w:p>
    <w:p w14:paraId="6B03FB94" w14:textId="414EE800" w:rsidR="00755FBB" w:rsidRPr="00755FBB" w:rsidRDefault="00861D42" w:rsidP="00861D42">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 xml:space="preserve">4. </w:t>
      </w:r>
      <w:r w:rsidR="00755FBB" w:rsidRPr="00755FBB">
        <w:rPr>
          <w:rFonts w:ascii="Times New Roman" w:eastAsia="Times New Roman" w:hAnsi="Times New Roman" w:cs="Times New Roman"/>
          <w:b/>
          <w:bCs/>
          <w:sz w:val="24"/>
          <w:szCs w:val="24"/>
          <w:lang w:val="es-DO" w:eastAsia="en-GB"/>
        </w:rPr>
        <w:t>Disminución de la informalidad y fuga de talento</w:t>
      </w:r>
      <w:r w:rsidR="00755FBB" w:rsidRPr="00755FBB">
        <w:rPr>
          <w:rFonts w:ascii="Times New Roman" w:eastAsia="Times New Roman" w:hAnsi="Times New Roman" w:cs="Times New Roman"/>
          <w:sz w:val="24"/>
          <w:szCs w:val="24"/>
          <w:lang w:val="es-DO" w:eastAsia="en-GB"/>
        </w:rPr>
        <w:t>: un salario competitivo en el sector público evitaría la migración de trabajadores hacia el sector privado o la economía informal.</w:t>
      </w:r>
    </w:p>
    <w:p w14:paraId="12D74E49" w14:textId="752DEC5E" w:rsidR="00755FBB" w:rsidRPr="00755FBB" w:rsidRDefault="00861D42" w:rsidP="00861D42">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Pr>
          <w:rFonts w:ascii="Times New Roman" w:eastAsia="Times New Roman" w:hAnsi="Times New Roman" w:cs="Times New Roman"/>
          <w:b/>
          <w:bCs/>
          <w:sz w:val="24"/>
          <w:szCs w:val="24"/>
          <w:lang w:val="es-DO" w:eastAsia="en-GB"/>
        </w:rPr>
        <w:t xml:space="preserve">5. </w:t>
      </w:r>
      <w:r w:rsidR="00755FBB" w:rsidRPr="00755FBB">
        <w:rPr>
          <w:rFonts w:ascii="Times New Roman" w:eastAsia="Times New Roman" w:hAnsi="Times New Roman" w:cs="Times New Roman"/>
          <w:b/>
          <w:bCs/>
          <w:sz w:val="24"/>
          <w:szCs w:val="24"/>
          <w:lang w:val="es-DO" w:eastAsia="en-GB"/>
        </w:rPr>
        <w:t>Mayor eficiencia y productividad</w:t>
      </w:r>
      <w:r w:rsidR="00755FBB" w:rsidRPr="00755FBB">
        <w:rPr>
          <w:rFonts w:ascii="Times New Roman" w:eastAsia="Times New Roman" w:hAnsi="Times New Roman" w:cs="Times New Roman"/>
          <w:sz w:val="24"/>
          <w:szCs w:val="24"/>
          <w:lang w:val="es-DO" w:eastAsia="en-GB"/>
        </w:rPr>
        <w:t>: empleados mejor remunerados tienden a estar más motivados, reduciendo el ausentismo y mejorando la prestación de servicios públicos.</w:t>
      </w:r>
    </w:p>
    <w:p w14:paraId="67B170E4" w14:textId="2F4D3368" w:rsidR="00755FBB" w:rsidRP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 xml:space="preserve">El </w:t>
      </w:r>
      <w:r w:rsidRPr="00F7617C">
        <w:rPr>
          <w:rFonts w:ascii="Times New Roman" w:eastAsia="Times New Roman" w:hAnsi="Times New Roman" w:cs="Times New Roman"/>
          <w:b/>
          <w:bCs/>
          <w:sz w:val="24"/>
          <w:szCs w:val="24"/>
          <w:lang w:val="es-DO" w:eastAsia="en-GB"/>
        </w:rPr>
        <w:t>MOPESEP</w:t>
      </w:r>
      <w:r w:rsidRPr="00755FBB">
        <w:rPr>
          <w:rFonts w:ascii="Times New Roman" w:eastAsia="Times New Roman" w:hAnsi="Times New Roman" w:cs="Times New Roman"/>
          <w:sz w:val="24"/>
          <w:szCs w:val="24"/>
          <w:lang w:val="es-DO" w:eastAsia="en-GB"/>
        </w:rPr>
        <w:t xml:space="preserve"> </w:t>
      </w:r>
      <w:r w:rsidR="00861D42">
        <w:rPr>
          <w:rFonts w:ascii="Times New Roman" w:eastAsia="Times New Roman" w:hAnsi="Times New Roman" w:cs="Times New Roman"/>
          <w:sz w:val="24"/>
          <w:szCs w:val="24"/>
          <w:lang w:val="es-DO" w:eastAsia="en-GB"/>
        </w:rPr>
        <w:t>solicita</w:t>
      </w:r>
      <w:r w:rsidRPr="00755FBB">
        <w:rPr>
          <w:rFonts w:ascii="Times New Roman" w:eastAsia="Times New Roman" w:hAnsi="Times New Roman" w:cs="Times New Roman"/>
          <w:sz w:val="24"/>
          <w:szCs w:val="24"/>
          <w:lang w:val="es-DO" w:eastAsia="en-GB"/>
        </w:rPr>
        <w:t xml:space="preserve"> al presidente Luis Abinader </w:t>
      </w:r>
      <w:r w:rsidR="00861D42">
        <w:rPr>
          <w:rFonts w:ascii="Times New Roman" w:eastAsia="Times New Roman" w:hAnsi="Times New Roman" w:cs="Times New Roman"/>
          <w:sz w:val="24"/>
          <w:szCs w:val="24"/>
          <w:lang w:val="es-DO" w:eastAsia="en-GB"/>
        </w:rPr>
        <w:t>que</w:t>
      </w:r>
      <w:r w:rsidRPr="00755FBB">
        <w:rPr>
          <w:rFonts w:ascii="Times New Roman" w:eastAsia="Times New Roman" w:hAnsi="Times New Roman" w:cs="Times New Roman"/>
          <w:sz w:val="24"/>
          <w:szCs w:val="24"/>
          <w:lang w:val="es-DO" w:eastAsia="en-GB"/>
        </w:rPr>
        <w:t xml:space="preserve"> dispon</w:t>
      </w:r>
      <w:r w:rsidR="00861D42">
        <w:rPr>
          <w:rFonts w:ascii="Times New Roman" w:eastAsia="Times New Roman" w:hAnsi="Times New Roman" w:cs="Times New Roman"/>
          <w:sz w:val="24"/>
          <w:szCs w:val="24"/>
          <w:lang w:val="es-DO" w:eastAsia="en-GB"/>
        </w:rPr>
        <w:t>ga</w:t>
      </w:r>
      <w:r w:rsidRPr="00755FBB">
        <w:rPr>
          <w:rFonts w:ascii="Times New Roman" w:eastAsia="Times New Roman" w:hAnsi="Times New Roman" w:cs="Times New Roman"/>
          <w:sz w:val="24"/>
          <w:szCs w:val="24"/>
          <w:lang w:val="es-DO" w:eastAsia="en-GB"/>
        </w:rPr>
        <w:t xml:space="preserve"> un aumento del salario mínimo del sector público, alineándolo con la evolución de los salarios privados y el costo de la Canasta Básica Familiar.</w:t>
      </w:r>
    </w:p>
    <w:p w14:paraId="1D44CE98" w14:textId="77777777" w:rsidR="00755FBB" w:rsidRP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Además, es crucial establecer una normativa que regule la revisión periódica de los salarios en el sector público, similar al mecanismo existente en el sector privado, para evitar largos períodos sin ajustes.</w:t>
      </w:r>
    </w:p>
    <w:p w14:paraId="73B6690B" w14:textId="3FB9E34A" w:rsidR="00755FBB" w:rsidRPr="00755FBB" w:rsidRDefault="00755FBB" w:rsidP="00755FBB">
      <w:pPr>
        <w:spacing w:before="100" w:beforeAutospacing="1" w:after="100" w:afterAutospacing="1" w:line="240" w:lineRule="auto"/>
        <w:jc w:val="both"/>
        <w:rPr>
          <w:rFonts w:ascii="Times New Roman" w:eastAsia="Times New Roman" w:hAnsi="Times New Roman" w:cs="Times New Roman"/>
          <w:sz w:val="24"/>
          <w:szCs w:val="24"/>
          <w:lang w:val="es-DO" w:eastAsia="en-GB"/>
        </w:rPr>
      </w:pPr>
      <w:r w:rsidRPr="00755FBB">
        <w:rPr>
          <w:rFonts w:ascii="Times New Roman" w:eastAsia="Times New Roman" w:hAnsi="Times New Roman" w:cs="Times New Roman"/>
          <w:sz w:val="24"/>
          <w:szCs w:val="24"/>
          <w:lang w:val="es-DO" w:eastAsia="en-GB"/>
        </w:rPr>
        <w:t xml:space="preserve">Garantizar un salario digno a los servidores públicos no es solo un acto de justicia social, sino una medida que fortalecería la economía, reduciría la pobreza y mejoraría la eficiencia del Estado. </w:t>
      </w:r>
      <w:r w:rsidR="00861D42">
        <w:rPr>
          <w:rFonts w:ascii="Times New Roman" w:eastAsia="Times New Roman" w:hAnsi="Times New Roman" w:cs="Times New Roman"/>
          <w:sz w:val="24"/>
          <w:szCs w:val="24"/>
          <w:lang w:val="es-DO" w:eastAsia="en-GB"/>
        </w:rPr>
        <w:t xml:space="preserve"> </w:t>
      </w:r>
      <w:r w:rsidRPr="00755FBB">
        <w:rPr>
          <w:rFonts w:ascii="Times New Roman" w:eastAsia="Times New Roman" w:hAnsi="Times New Roman" w:cs="Times New Roman"/>
          <w:sz w:val="24"/>
          <w:szCs w:val="24"/>
          <w:lang w:val="es-DO" w:eastAsia="en-GB"/>
        </w:rPr>
        <w:t>Es momento de saldar esta deuda histórica.</w:t>
      </w:r>
    </w:p>
    <w:p w14:paraId="2866E068" w14:textId="23478759" w:rsidR="008B2BD0" w:rsidRDefault="008B2BD0" w:rsidP="00755FBB">
      <w:pPr>
        <w:jc w:val="both"/>
        <w:rPr>
          <w:lang w:val="es-DO"/>
        </w:rPr>
      </w:pPr>
    </w:p>
    <w:p w14:paraId="0CD0AF1B" w14:textId="156CA2A7" w:rsidR="001302B6" w:rsidRPr="005F5D9D" w:rsidRDefault="001302B6" w:rsidP="001302B6">
      <w:pPr>
        <w:jc w:val="both"/>
        <w:rPr>
          <w:rFonts w:ascii="Times New Roman" w:hAnsi="Times New Roman" w:cs="Times New Roman"/>
          <w:sz w:val="24"/>
          <w:szCs w:val="24"/>
        </w:rPr>
      </w:pPr>
      <w:r w:rsidRPr="00D36FCA">
        <w:rPr>
          <w:rFonts w:ascii="Times New Roman" w:hAnsi="Times New Roman" w:cs="Times New Roman"/>
          <w:b/>
          <w:bCs/>
          <w:sz w:val="24"/>
          <w:szCs w:val="24"/>
          <w:lang w:val="es-MX"/>
        </w:rPr>
        <w:t>Etiquetas:</w:t>
      </w:r>
      <w:r>
        <w:rPr>
          <w:rFonts w:ascii="Times New Roman" w:hAnsi="Times New Roman" w:cs="Times New Roman"/>
          <w:b/>
          <w:bCs/>
          <w:sz w:val="24"/>
          <w:szCs w:val="24"/>
          <w:lang w:val="es-MX"/>
        </w:rPr>
        <w:t xml:space="preserve"> </w:t>
      </w:r>
      <w:r>
        <w:rPr>
          <w:rFonts w:ascii="Times New Roman" w:hAnsi="Times New Roman" w:cs="Times New Roman"/>
          <w:sz w:val="24"/>
          <w:szCs w:val="24"/>
          <w:lang w:val="es-MX"/>
        </w:rPr>
        <w:t>Luis Abinader</w:t>
      </w:r>
      <w:r w:rsidRPr="00583BED">
        <w:rPr>
          <w:rFonts w:ascii="Times New Roman" w:hAnsi="Times New Roman" w:cs="Times New Roman"/>
          <w:sz w:val="24"/>
          <w:szCs w:val="24"/>
          <w:lang w:val="es-MX"/>
        </w:rPr>
        <w:t>,</w:t>
      </w:r>
      <w:r>
        <w:rPr>
          <w:rFonts w:ascii="Times New Roman" w:hAnsi="Times New Roman" w:cs="Times New Roman"/>
          <w:b/>
          <w:bCs/>
          <w:sz w:val="24"/>
          <w:szCs w:val="24"/>
          <w:lang w:val="es-MX"/>
        </w:rPr>
        <w:t xml:space="preserve"> </w:t>
      </w:r>
      <w:r>
        <w:rPr>
          <w:rFonts w:ascii="Times New Roman" w:hAnsi="Times New Roman" w:cs="Times New Roman"/>
          <w:sz w:val="24"/>
          <w:szCs w:val="24"/>
          <w:lang w:val="es-MX"/>
        </w:rPr>
        <w:t>MOPESEP, Sueldo Mínimo</w:t>
      </w:r>
      <w:r w:rsidR="00C02D35">
        <w:rPr>
          <w:rFonts w:ascii="Times New Roman" w:hAnsi="Times New Roman" w:cs="Times New Roman"/>
          <w:sz w:val="24"/>
          <w:szCs w:val="24"/>
          <w:lang w:val="es-MX"/>
        </w:rPr>
        <w:t xml:space="preserve"> del Sector Público</w:t>
      </w:r>
      <w:r>
        <w:rPr>
          <w:rFonts w:ascii="Times New Roman" w:hAnsi="Times New Roman" w:cs="Times New Roman"/>
          <w:sz w:val="24"/>
          <w:szCs w:val="24"/>
          <w:lang w:val="es-MX"/>
        </w:rPr>
        <w:t xml:space="preserve">, </w:t>
      </w:r>
      <w:r w:rsidR="00C02D35">
        <w:rPr>
          <w:rFonts w:ascii="Times New Roman" w:hAnsi="Times New Roman" w:cs="Times New Roman"/>
          <w:sz w:val="24"/>
          <w:szCs w:val="24"/>
          <w:lang w:val="es-MX"/>
        </w:rPr>
        <w:t xml:space="preserve">Aumento Salarial, </w:t>
      </w:r>
      <w:r>
        <w:rPr>
          <w:rFonts w:ascii="Times New Roman" w:hAnsi="Times New Roman" w:cs="Times New Roman"/>
          <w:sz w:val="24"/>
          <w:szCs w:val="24"/>
          <w:lang w:val="es-MX"/>
        </w:rPr>
        <w:t>Luis Holguín-Veras</w:t>
      </w:r>
    </w:p>
    <w:p w14:paraId="0A201BA1" w14:textId="77777777" w:rsidR="001302B6" w:rsidRPr="00755FBB" w:rsidRDefault="001302B6" w:rsidP="00755FBB">
      <w:pPr>
        <w:jc w:val="both"/>
        <w:rPr>
          <w:lang w:val="es-DO"/>
        </w:rPr>
      </w:pPr>
    </w:p>
    <w:sectPr w:rsidR="001302B6" w:rsidRPr="00755FBB" w:rsidSect="00861D42">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62F6A"/>
    <w:multiLevelType w:val="multilevel"/>
    <w:tmpl w:val="4EB4D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5E3AC6"/>
    <w:multiLevelType w:val="multilevel"/>
    <w:tmpl w:val="FED6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2E29B7"/>
    <w:multiLevelType w:val="multilevel"/>
    <w:tmpl w:val="2924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FBB"/>
    <w:rsid w:val="001302B6"/>
    <w:rsid w:val="001E0678"/>
    <w:rsid w:val="002F706B"/>
    <w:rsid w:val="0036414E"/>
    <w:rsid w:val="0043214E"/>
    <w:rsid w:val="004B4F7D"/>
    <w:rsid w:val="006754C4"/>
    <w:rsid w:val="00675B30"/>
    <w:rsid w:val="00755FBB"/>
    <w:rsid w:val="007D02C4"/>
    <w:rsid w:val="00861D42"/>
    <w:rsid w:val="00866AAE"/>
    <w:rsid w:val="008B2BD0"/>
    <w:rsid w:val="008F3F68"/>
    <w:rsid w:val="0096040B"/>
    <w:rsid w:val="00C02D35"/>
    <w:rsid w:val="00C54FDB"/>
    <w:rsid w:val="00C575A9"/>
    <w:rsid w:val="00CC28C7"/>
    <w:rsid w:val="00E43D3E"/>
    <w:rsid w:val="00E910B3"/>
    <w:rsid w:val="00F76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0B0F2"/>
  <w15:chartTrackingRefBased/>
  <w15:docId w15:val="{12783BF0-08E2-4980-A4A2-3D651E52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D35"/>
  </w:style>
  <w:style w:type="paragraph" w:styleId="Ttulo3">
    <w:name w:val="heading 3"/>
    <w:basedOn w:val="Normal"/>
    <w:link w:val="Ttulo3Car"/>
    <w:uiPriority w:val="9"/>
    <w:qFormat/>
    <w:rsid w:val="00755FB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755FBB"/>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755F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Textoennegrita">
    <w:name w:val="Strong"/>
    <w:basedOn w:val="Fuentedeprrafopredeter"/>
    <w:uiPriority w:val="22"/>
    <w:qFormat/>
    <w:rsid w:val="00755F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6543">
      <w:bodyDiv w:val="1"/>
      <w:marLeft w:val="0"/>
      <w:marRight w:val="0"/>
      <w:marTop w:val="0"/>
      <w:marBottom w:val="0"/>
      <w:divBdr>
        <w:top w:val="none" w:sz="0" w:space="0" w:color="auto"/>
        <w:left w:val="none" w:sz="0" w:space="0" w:color="auto"/>
        <w:bottom w:val="none" w:sz="0" w:space="0" w:color="auto"/>
        <w:right w:val="none" w:sz="0" w:space="0" w:color="auto"/>
      </w:divBdr>
    </w:div>
    <w:div w:id="93586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4</Pages>
  <Words>1030</Words>
  <Characters>5422</Characters>
  <Application>Microsoft Office Word</Application>
  <DocSecurity>0</DocSecurity>
  <Lines>95</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Holguín-Veras Martínez</dc:creator>
  <cp:keywords/>
  <dc:description/>
  <cp:lastModifiedBy>Luis Holguín-Veras Martínez</cp:lastModifiedBy>
  <cp:revision>4</cp:revision>
  <dcterms:created xsi:type="dcterms:W3CDTF">2025-03-01T14:01:00Z</dcterms:created>
  <dcterms:modified xsi:type="dcterms:W3CDTF">2025-03-02T14:05:00Z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5439db48-deca-49c8-8a06-2b2b673a4f24</vt:lpwstr>
  </property>
</Properties>
</file>