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766F" w14:textId="5B63931C" w:rsidR="007A5D4E" w:rsidRPr="008362B7" w:rsidRDefault="00EA62D4" w:rsidP="005972FE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ES"/>
        </w:rPr>
      </w:pPr>
      <w:bookmarkStart w:id="0" w:name="_Hlk203312668"/>
      <w:r w:rsidRPr="008362B7">
        <w:rPr>
          <w:rFonts w:ascii="Cambria" w:hAnsi="Cambria"/>
          <w:b/>
          <w:bCs/>
          <w:sz w:val="26"/>
          <w:szCs w:val="26"/>
          <w:lang w:val="es-ES"/>
        </w:rPr>
        <w:t xml:space="preserve">Nota </w:t>
      </w:r>
      <w:r>
        <w:rPr>
          <w:rFonts w:ascii="Cambria" w:hAnsi="Cambria"/>
          <w:b/>
          <w:bCs/>
          <w:sz w:val="26"/>
          <w:szCs w:val="26"/>
          <w:lang w:val="es-ES"/>
        </w:rPr>
        <w:t>d</w:t>
      </w:r>
      <w:r w:rsidRPr="008362B7">
        <w:rPr>
          <w:rFonts w:ascii="Cambria" w:hAnsi="Cambria"/>
          <w:b/>
          <w:bCs/>
          <w:sz w:val="26"/>
          <w:szCs w:val="26"/>
          <w:lang w:val="es-ES"/>
        </w:rPr>
        <w:t>e Prensa</w:t>
      </w:r>
    </w:p>
    <w:p w14:paraId="295A7BA3" w14:textId="77777777" w:rsidR="00EA62D4" w:rsidRDefault="00EA62D4" w:rsidP="005972FE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ES"/>
        </w:rPr>
      </w:pPr>
    </w:p>
    <w:p w14:paraId="50CDFEA2" w14:textId="3D5CBA0E" w:rsidR="007A5D4E" w:rsidRDefault="00EA62D4" w:rsidP="005972FE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ES"/>
        </w:rPr>
      </w:pPr>
      <w:r>
        <w:rPr>
          <w:rFonts w:ascii="Cambria" w:hAnsi="Cambria"/>
          <w:b/>
          <w:bCs/>
          <w:sz w:val="26"/>
          <w:szCs w:val="26"/>
          <w:lang w:val="es-ES"/>
        </w:rPr>
        <w:t>TSA</w:t>
      </w:r>
      <w:r w:rsidR="007A5D4E">
        <w:rPr>
          <w:rFonts w:ascii="Cambria" w:hAnsi="Cambria"/>
          <w:b/>
          <w:bCs/>
          <w:sz w:val="26"/>
          <w:szCs w:val="26"/>
          <w:lang w:val="es-ES"/>
        </w:rPr>
        <w:t xml:space="preserve"> emite nueva sentencia confirmando a Trajano Potentini como único presidente legítimo del Colegio de Abogados</w:t>
      </w:r>
    </w:p>
    <w:p w14:paraId="09AE7814" w14:textId="77777777" w:rsidR="007A5D4E" w:rsidRPr="008362B7" w:rsidRDefault="007A5D4E" w:rsidP="005972FE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ES"/>
        </w:rPr>
      </w:pPr>
    </w:p>
    <w:p w14:paraId="054147F9" w14:textId="77777777" w:rsidR="007A5D4E" w:rsidRPr="008362B7" w:rsidRDefault="007A5D4E" w:rsidP="005972FE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ES"/>
        </w:rPr>
      </w:pPr>
      <w:r>
        <w:rPr>
          <w:rFonts w:ascii="Cambria" w:hAnsi="Cambria"/>
          <w:b/>
          <w:bCs/>
          <w:sz w:val="26"/>
          <w:szCs w:val="26"/>
          <w:lang w:val="es-ES"/>
        </w:rPr>
        <w:t xml:space="preserve">Potentini recibe triunfo con humildad, </w:t>
      </w:r>
      <w:r w:rsidRPr="008362B7">
        <w:rPr>
          <w:rFonts w:ascii="Cambria" w:hAnsi="Cambria"/>
          <w:b/>
          <w:bCs/>
          <w:sz w:val="26"/>
          <w:szCs w:val="26"/>
          <w:lang w:val="es-ES"/>
        </w:rPr>
        <w:t xml:space="preserve">llama a la unidad y </w:t>
      </w:r>
      <w:r>
        <w:rPr>
          <w:rFonts w:ascii="Cambria" w:hAnsi="Cambria"/>
          <w:b/>
          <w:bCs/>
          <w:sz w:val="26"/>
          <w:szCs w:val="26"/>
          <w:lang w:val="es-ES"/>
        </w:rPr>
        <w:t xml:space="preserve">anuncia </w:t>
      </w:r>
      <w:r w:rsidRPr="008362B7">
        <w:rPr>
          <w:rFonts w:ascii="Cambria" w:hAnsi="Cambria"/>
          <w:b/>
          <w:bCs/>
          <w:sz w:val="26"/>
          <w:szCs w:val="26"/>
          <w:lang w:val="es-ES"/>
        </w:rPr>
        <w:t>consultará liderazgo de la abogacía nacional para integrarlos a su gestión</w:t>
      </w:r>
    </w:p>
    <w:p w14:paraId="3472D17B" w14:textId="77777777" w:rsidR="007A5D4E" w:rsidRPr="008362B7" w:rsidRDefault="007A5D4E" w:rsidP="005972FE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  <w:lang w:val="es-ES"/>
        </w:rPr>
      </w:pPr>
    </w:p>
    <w:p w14:paraId="33DB341A" w14:textId="2F347626" w:rsidR="007A5D4E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  <w:r w:rsidRPr="007E4ACC"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>Santo Domingo, Distrito Nacional</w:t>
      </w:r>
      <w:r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>,</w:t>
      </w:r>
      <w:r w:rsidRPr="007E4ACC"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 xml:space="preserve"> </w:t>
      </w:r>
      <w:r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>Domingo</w:t>
      </w:r>
      <w:r w:rsidRPr="007E4ACC"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 xml:space="preserve"> </w:t>
      </w:r>
      <w:r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>13</w:t>
      </w:r>
      <w:r w:rsidRPr="007E4ACC">
        <w:rPr>
          <w:rFonts w:ascii="Cambria" w:hAnsi="Cambria" w:cs="Arial"/>
          <w:b/>
          <w:bCs/>
          <w:color w:val="222222"/>
          <w:sz w:val="23"/>
          <w:szCs w:val="23"/>
          <w:shd w:val="clear" w:color="auto" w:fill="FFFFFF"/>
        </w:rPr>
        <w:t xml:space="preserve"> de julio de 2025</w:t>
      </w:r>
      <w:r w:rsidRPr="008362B7">
        <w:rPr>
          <w:rFonts w:ascii="Cambria" w:hAnsi="Cambria"/>
          <w:b/>
          <w:bCs/>
          <w:sz w:val="26"/>
          <w:szCs w:val="26"/>
          <w:lang w:val="es-ES"/>
        </w:rPr>
        <w:t xml:space="preserve">. </w:t>
      </w:r>
      <w:r w:rsidRPr="008362B7">
        <w:rPr>
          <w:rFonts w:ascii="Cambria" w:hAnsi="Cambria"/>
          <w:sz w:val="26"/>
          <w:szCs w:val="26"/>
          <w:lang w:val="es-ES"/>
        </w:rPr>
        <w:t xml:space="preserve"> El Tribunal Superior Administrativo (TSA), mediante la Sentencia núm. 0030-02-2025-SSEN-00407, dictada el 17 de junio de 2025, reconoció de manera </w:t>
      </w:r>
      <w:r>
        <w:rPr>
          <w:rFonts w:ascii="Cambria" w:hAnsi="Cambria"/>
          <w:sz w:val="26"/>
          <w:szCs w:val="26"/>
          <w:lang w:val="es-ES"/>
        </w:rPr>
        <w:t xml:space="preserve">contundente </w:t>
      </w:r>
      <w:r w:rsidRPr="008362B7">
        <w:rPr>
          <w:rFonts w:ascii="Cambria" w:hAnsi="Cambria"/>
          <w:sz w:val="26"/>
          <w:szCs w:val="26"/>
          <w:lang w:val="es-ES"/>
        </w:rPr>
        <w:t>a Trajano Potentini como ganador del proceso electoral celebrado el 2 de diciembre de 2023 por el Colegio de Abogados de la República Dominicana (CARD), consolidando así su posición como presidente del gremio para el período correspondiente.</w:t>
      </w:r>
    </w:p>
    <w:p w14:paraId="7B6A89CE" w14:textId="77777777" w:rsidR="007A5D4E" w:rsidRPr="008362B7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</w:p>
    <w:p w14:paraId="4135A52A" w14:textId="051DA90E" w:rsidR="007A5D4E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8362B7">
        <w:rPr>
          <w:rFonts w:ascii="Cambria" w:hAnsi="Cambria"/>
          <w:sz w:val="26"/>
          <w:szCs w:val="26"/>
          <w:lang w:val="es-ES"/>
        </w:rPr>
        <w:t>La decisión judicial pone punto final a una prolongada disputa ante los Tribunales de la República, la cual se había extendido durante más de un año. De acuerdo con la sentencia, en su</w:t>
      </w:r>
      <w:r>
        <w:rPr>
          <w:rFonts w:ascii="Cambria" w:hAnsi="Cambria"/>
          <w:sz w:val="26"/>
          <w:szCs w:val="26"/>
          <w:lang w:val="es-ES"/>
        </w:rPr>
        <w:t>s</w:t>
      </w:r>
      <w:r w:rsidRPr="008362B7">
        <w:rPr>
          <w:rFonts w:ascii="Cambria" w:hAnsi="Cambria"/>
          <w:sz w:val="26"/>
          <w:szCs w:val="26"/>
          <w:lang w:val="es-ES"/>
        </w:rPr>
        <w:t xml:space="preserve"> numeral</w:t>
      </w:r>
      <w:r>
        <w:rPr>
          <w:rFonts w:ascii="Cambria" w:hAnsi="Cambria"/>
          <w:sz w:val="26"/>
          <w:szCs w:val="26"/>
          <w:lang w:val="es-ES"/>
        </w:rPr>
        <w:t>es</w:t>
      </w:r>
      <w:r w:rsidRPr="008362B7">
        <w:rPr>
          <w:rFonts w:ascii="Cambria" w:hAnsi="Cambria"/>
          <w:sz w:val="26"/>
          <w:szCs w:val="26"/>
          <w:lang w:val="es-ES"/>
        </w:rPr>
        <w:t xml:space="preserve"> 21,</w:t>
      </w:r>
      <w:r w:rsidRPr="005543EE">
        <w:rPr>
          <w:rFonts w:ascii="Cambria" w:hAnsi="Cambria"/>
          <w:sz w:val="26"/>
          <w:szCs w:val="26"/>
          <w:lang w:val="es-ES"/>
        </w:rPr>
        <w:t xml:space="preserve"> </w:t>
      </w:r>
      <w:r w:rsidRPr="008362B7">
        <w:rPr>
          <w:rFonts w:ascii="Cambria" w:hAnsi="Cambria"/>
          <w:sz w:val="26"/>
          <w:szCs w:val="26"/>
          <w:lang w:val="es-ES"/>
        </w:rPr>
        <w:t xml:space="preserve">22 y 23 páginas 30 y 31 </w:t>
      </w:r>
      <w:r>
        <w:rPr>
          <w:rFonts w:ascii="Cambria" w:hAnsi="Cambria"/>
          <w:sz w:val="26"/>
          <w:szCs w:val="26"/>
          <w:lang w:val="es-ES"/>
        </w:rPr>
        <w:t xml:space="preserve">que el amparo no posee el alcance para conocer de alianzas y nulidades, </w:t>
      </w:r>
      <w:r w:rsidR="00BE7B7B">
        <w:rPr>
          <w:rFonts w:ascii="Cambria" w:hAnsi="Cambria"/>
          <w:sz w:val="26"/>
          <w:szCs w:val="26"/>
          <w:lang w:val="es-ES"/>
        </w:rPr>
        <w:t xml:space="preserve">también resaltan la imposibilidad de reconteo de votos, por haberse perdido la cadena de custodia, </w:t>
      </w:r>
      <w:r>
        <w:rPr>
          <w:rFonts w:ascii="Cambria" w:hAnsi="Cambria"/>
          <w:sz w:val="26"/>
          <w:szCs w:val="26"/>
          <w:lang w:val="es-ES"/>
        </w:rPr>
        <w:t xml:space="preserve">al tiempo de reconocer </w:t>
      </w:r>
      <w:r w:rsidRPr="008362B7">
        <w:rPr>
          <w:rFonts w:ascii="Cambria" w:hAnsi="Cambria"/>
          <w:sz w:val="26"/>
          <w:szCs w:val="26"/>
          <w:lang w:val="es-ES"/>
        </w:rPr>
        <w:t xml:space="preserve">como buena y válida la </w:t>
      </w:r>
      <w:r w:rsidRPr="008362B7">
        <w:rPr>
          <w:rFonts w:ascii="Cambria" w:hAnsi="Cambria"/>
          <w:sz w:val="26"/>
          <w:szCs w:val="26"/>
        </w:rPr>
        <w:t xml:space="preserve">Resolución No. CNE-(CARD)-0011-2023 del 11 de diciembre de 2023 emitida por la Comisión Nacional Electoral, que proclamó como ganador de Trajano Potentini, </w:t>
      </w:r>
      <w:r>
        <w:rPr>
          <w:rFonts w:ascii="Cambria" w:hAnsi="Cambria"/>
          <w:sz w:val="26"/>
          <w:szCs w:val="26"/>
        </w:rPr>
        <w:t xml:space="preserve">además de </w:t>
      </w:r>
      <w:r w:rsidRPr="008362B7">
        <w:rPr>
          <w:rFonts w:ascii="Cambria" w:hAnsi="Cambria"/>
          <w:sz w:val="26"/>
          <w:szCs w:val="26"/>
        </w:rPr>
        <w:t>indica</w:t>
      </w:r>
      <w:r>
        <w:rPr>
          <w:rFonts w:ascii="Cambria" w:hAnsi="Cambria"/>
          <w:sz w:val="26"/>
          <w:szCs w:val="26"/>
        </w:rPr>
        <w:t>r</w:t>
      </w:r>
      <w:r w:rsidRPr="008362B7">
        <w:rPr>
          <w:rFonts w:ascii="Cambria" w:hAnsi="Cambria"/>
          <w:sz w:val="26"/>
          <w:szCs w:val="26"/>
        </w:rPr>
        <w:t xml:space="preserve"> que hay una presunción de validez </w:t>
      </w:r>
      <w:r w:rsidR="00BE7B7B">
        <w:rPr>
          <w:rFonts w:ascii="Cambria" w:hAnsi="Cambria"/>
          <w:sz w:val="26"/>
          <w:szCs w:val="26"/>
        </w:rPr>
        <w:t xml:space="preserve">y legitimidad </w:t>
      </w:r>
      <w:r w:rsidRPr="008362B7">
        <w:rPr>
          <w:rFonts w:ascii="Cambria" w:hAnsi="Cambria"/>
          <w:sz w:val="26"/>
          <w:szCs w:val="26"/>
        </w:rPr>
        <w:t>del acto</w:t>
      </w:r>
      <w:r>
        <w:rPr>
          <w:rFonts w:ascii="Cambria" w:hAnsi="Cambria"/>
          <w:sz w:val="26"/>
          <w:szCs w:val="26"/>
        </w:rPr>
        <w:t xml:space="preserve"> administrativo configurado y emanado </w:t>
      </w:r>
      <w:r w:rsidR="00BE7B7B">
        <w:rPr>
          <w:rFonts w:ascii="Cambria" w:hAnsi="Cambria"/>
          <w:sz w:val="26"/>
          <w:szCs w:val="26"/>
        </w:rPr>
        <w:t xml:space="preserve">por la comisión electoral, como </w:t>
      </w:r>
      <w:r>
        <w:rPr>
          <w:rFonts w:ascii="Cambria" w:hAnsi="Cambria"/>
          <w:sz w:val="26"/>
          <w:szCs w:val="26"/>
        </w:rPr>
        <w:t>el único órgano competente.</w:t>
      </w:r>
    </w:p>
    <w:p w14:paraId="420E0384" w14:textId="77777777" w:rsidR="007A5D4E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2EA9AED4" w14:textId="77777777" w:rsidR="007A5D4E" w:rsidRPr="008362B7" w:rsidRDefault="007A5D4E" w:rsidP="005972FE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  <w:lang w:val="es-ES"/>
        </w:rPr>
      </w:pPr>
      <w:r>
        <w:rPr>
          <w:rFonts w:ascii="Cambria" w:hAnsi="Cambria"/>
          <w:b/>
          <w:bCs/>
          <w:sz w:val="26"/>
          <w:szCs w:val="26"/>
          <w:lang w:val="es-ES"/>
        </w:rPr>
        <w:t xml:space="preserve">Potentini recibe triunfo con humildad, </w:t>
      </w:r>
      <w:r w:rsidRPr="008362B7">
        <w:rPr>
          <w:rFonts w:ascii="Cambria" w:hAnsi="Cambria"/>
          <w:b/>
          <w:bCs/>
          <w:sz w:val="26"/>
          <w:szCs w:val="26"/>
          <w:lang w:val="es-ES"/>
        </w:rPr>
        <w:t xml:space="preserve">llama a la unidad y </w:t>
      </w:r>
      <w:r>
        <w:rPr>
          <w:rFonts w:ascii="Cambria" w:hAnsi="Cambria"/>
          <w:b/>
          <w:bCs/>
          <w:sz w:val="26"/>
          <w:szCs w:val="26"/>
          <w:lang w:val="es-ES"/>
        </w:rPr>
        <w:t xml:space="preserve">anuncia </w:t>
      </w:r>
      <w:r w:rsidRPr="008362B7">
        <w:rPr>
          <w:rFonts w:ascii="Cambria" w:hAnsi="Cambria"/>
          <w:b/>
          <w:bCs/>
          <w:sz w:val="26"/>
          <w:szCs w:val="26"/>
          <w:lang w:val="es-ES"/>
        </w:rPr>
        <w:t>consultará liderazgo de la abogacía nacional para integrarlos a su gestión</w:t>
      </w:r>
    </w:p>
    <w:p w14:paraId="3EA4C69E" w14:textId="77777777" w:rsidR="007A5D4E" w:rsidRPr="008362B7" w:rsidRDefault="007A5D4E" w:rsidP="005972FE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  <w:lang w:val="es-ES"/>
        </w:rPr>
      </w:pPr>
    </w:p>
    <w:p w14:paraId="52647FCD" w14:textId="77777777" w:rsidR="007A5D4E" w:rsidRDefault="007A5D4E" w:rsidP="005972FE">
      <w:pPr>
        <w:spacing w:after="0" w:line="240" w:lineRule="atLeast"/>
        <w:jc w:val="both"/>
        <w:rPr>
          <w:rFonts w:ascii="Cambria" w:eastAsia="Calibri" w:hAnsi="Cambria" w:cs="Times New Roman"/>
          <w:sz w:val="26"/>
          <w:szCs w:val="26"/>
          <w:lang w:val="es-ES"/>
        </w:rPr>
      </w:pPr>
      <w:r w:rsidRPr="00EF5901">
        <w:rPr>
          <w:rFonts w:ascii="Cambria" w:eastAsia="Calibri" w:hAnsi="Cambria" w:cs="Times New Roman"/>
          <w:sz w:val="26"/>
          <w:szCs w:val="26"/>
          <w:lang w:val="es-ES"/>
        </w:rPr>
        <w:t>Tras conocerse el fallo del TSA, Potentini hizo un llamado a la unidad del gremio, instando a dejar atrás las diferencias y enfocar los esfuerzos en una gestión plural, integradora y abierta al consenso, invitando a todos los sectores de la abogacía a dejar atrás las diferencias del proceso electoral y a integrarse a una gestión de puertas abiertas y espíritu colectivo.</w:t>
      </w:r>
    </w:p>
    <w:p w14:paraId="7487C498" w14:textId="77777777" w:rsidR="007A5D4E" w:rsidRPr="00EF5901" w:rsidRDefault="007A5D4E" w:rsidP="005972FE">
      <w:pPr>
        <w:spacing w:after="0" w:line="240" w:lineRule="atLeast"/>
        <w:jc w:val="both"/>
        <w:rPr>
          <w:rFonts w:ascii="Cambria" w:eastAsia="Calibri" w:hAnsi="Cambria" w:cs="Times New Roman"/>
          <w:sz w:val="26"/>
          <w:szCs w:val="26"/>
          <w:lang w:val="es-ES"/>
        </w:rPr>
      </w:pPr>
    </w:p>
    <w:p w14:paraId="178DF55B" w14:textId="77777777" w:rsidR="007A5D4E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  <w:r w:rsidRPr="008362B7">
        <w:rPr>
          <w:rFonts w:ascii="Cambria" w:hAnsi="Cambria"/>
          <w:sz w:val="26"/>
          <w:szCs w:val="26"/>
          <w:lang w:val="es-ES"/>
        </w:rPr>
        <w:lastRenderedPageBreak/>
        <w:t>“Asumo esta victoria con humildad, respeto por la institucionalidad y el firme compromiso de seguir trabajando por una abogacía fortalecida.</w:t>
      </w:r>
      <w:r w:rsidRPr="008362B7">
        <w:rPr>
          <w:rFonts w:ascii="Cambria" w:hAnsi="Cambria"/>
          <w:sz w:val="26"/>
          <w:szCs w:val="26"/>
        </w:rPr>
        <w:t xml:space="preserve"> </w:t>
      </w:r>
      <w:r w:rsidRPr="008362B7">
        <w:rPr>
          <w:rFonts w:ascii="Cambria" w:hAnsi="Cambria"/>
          <w:sz w:val="26"/>
          <w:szCs w:val="26"/>
          <w:lang w:val="es-ES"/>
        </w:rPr>
        <w:t>Este reconocimiento del Tribunal Superior Administrativo no es una victoria personal, sino del orden institucional y democrático. Consultaré a los principales líderes de la abogacía nacional, para sumar voluntades, porque el CARD debe ser un espacio de todos y para todos”, expresó Potentini en declaraciones ofrecidas.</w:t>
      </w:r>
    </w:p>
    <w:p w14:paraId="3C0A5A88" w14:textId="77777777" w:rsidR="007A5D4E" w:rsidRPr="008362B7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</w:p>
    <w:p w14:paraId="743FEF44" w14:textId="6F88D923" w:rsidR="007A5D4E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  <w:r w:rsidRPr="008362B7">
        <w:rPr>
          <w:rFonts w:ascii="Cambria" w:hAnsi="Cambria"/>
          <w:sz w:val="26"/>
          <w:szCs w:val="26"/>
          <w:lang w:val="es-ES"/>
        </w:rPr>
        <w:t xml:space="preserve">El también jurista y académico reiteró que su gestión está orientada por los principios de la transparencia, el rescate institucional, la dignificación de la carrera profesional y la defensa activa de los intereses de la clase jurídica. </w:t>
      </w:r>
      <w:r w:rsidR="00EA62D4">
        <w:rPr>
          <w:rFonts w:ascii="Cambria" w:hAnsi="Cambria"/>
          <w:sz w:val="26"/>
          <w:szCs w:val="26"/>
          <w:lang w:val="es-ES"/>
        </w:rPr>
        <w:t>E</w:t>
      </w:r>
      <w:r>
        <w:rPr>
          <w:rFonts w:ascii="Cambria" w:hAnsi="Cambria"/>
          <w:sz w:val="26"/>
          <w:szCs w:val="26"/>
          <w:lang w:val="es-ES"/>
        </w:rPr>
        <w:t xml:space="preserve">n esa virtud y aun con las precariedades propias de este largo litigio hemos venido desde </w:t>
      </w:r>
      <w:r w:rsidRPr="008362B7">
        <w:rPr>
          <w:rFonts w:ascii="Cambria" w:hAnsi="Cambria"/>
          <w:sz w:val="26"/>
          <w:szCs w:val="26"/>
          <w:lang w:val="es-ES"/>
        </w:rPr>
        <w:t>el CARD, impulsando una agenda centrada en la capacitación continua, la protección del ejercicio profesional, la modernización del gremio y la defensa activa de los derechos de los abogados.</w:t>
      </w:r>
    </w:p>
    <w:p w14:paraId="53CAF811" w14:textId="77777777" w:rsidR="007A5D4E" w:rsidRPr="008362B7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</w:p>
    <w:p w14:paraId="2C9B8177" w14:textId="77777777" w:rsidR="007A5D4E" w:rsidRDefault="007A5D4E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  <w:r w:rsidRPr="008362B7">
        <w:rPr>
          <w:rFonts w:ascii="Cambria" w:hAnsi="Cambria"/>
          <w:sz w:val="26"/>
          <w:szCs w:val="26"/>
          <w:lang w:val="es-ES"/>
        </w:rPr>
        <w:t>Con el respaldo de esta sentencia, queda claro que la presidencia del CARD ya no está en disputa</w:t>
      </w:r>
      <w:r>
        <w:rPr>
          <w:rFonts w:ascii="Cambria" w:hAnsi="Cambria"/>
          <w:sz w:val="26"/>
          <w:szCs w:val="26"/>
          <w:lang w:val="es-ES"/>
        </w:rPr>
        <w:t xml:space="preserve"> ni cuestionamientos, l</w:t>
      </w:r>
      <w:r w:rsidRPr="008362B7">
        <w:rPr>
          <w:rFonts w:ascii="Cambria" w:hAnsi="Cambria"/>
          <w:sz w:val="26"/>
          <w:szCs w:val="26"/>
          <w:lang w:val="es-ES"/>
        </w:rPr>
        <w:t xml:space="preserve">a legitimidad institucional ha sido confirmada por la </w:t>
      </w:r>
      <w:r>
        <w:rPr>
          <w:rFonts w:ascii="Cambria" w:hAnsi="Cambria"/>
          <w:sz w:val="26"/>
          <w:szCs w:val="26"/>
          <w:lang w:val="es-ES"/>
        </w:rPr>
        <w:t>instancia natural y competente</w:t>
      </w:r>
      <w:r w:rsidRPr="008362B7">
        <w:rPr>
          <w:rFonts w:ascii="Cambria" w:hAnsi="Cambria"/>
          <w:sz w:val="26"/>
          <w:szCs w:val="26"/>
          <w:lang w:val="es-ES"/>
        </w:rPr>
        <w:t>.</w:t>
      </w:r>
      <w:bookmarkEnd w:id="0"/>
    </w:p>
    <w:p w14:paraId="3B1FFFEB" w14:textId="77777777" w:rsidR="00EA62D4" w:rsidRDefault="00EA62D4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</w:p>
    <w:p w14:paraId="6A53AEB6" w14:textId="77777777" w:rsidR="00EA62D4" w:rsidRDefault="00EA62D4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</w:p>
    <w:p w14:paraId="03827E6E" w14:textId="77777777" w:rsidR="00EA62D4" w:rsidRDefault="00EA62D4" w:rsidP="005972FE">
      <w:pPr>
        <w:spacing w:after="0" w:line="240" w:lineRule="atLeast"/>
        <w:jc w:val="both"/>
        <w:rPr>
          <w:rFonts w:ascii="Cambria" w:hAnsi="Cambria"/>
          <w:sz w:val="26"/>
          <w:szCs w:val="26"/>
          <w:lang w:val="es-ES"/>
        </w:rPr>
      </w:pPr>
    </w:p>
    <w:p w14:paraId="621E9306" w14:textId="0CBEF613" w:rsidR="00EA62D4" w:rsidRPr="00EA62D4" w:rsidRDefault="00EA62D4" w:rsidP="005972FE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  <w:lang w:val="es-ES"/>
        </w:rPr>
      </w:pPr>
      <w:r w:rsidRPr="00EA62D4">
        <w:rPr>
          <w:rFonts w:ascii="Cambria" w:hAnsi="Cambria"/>
          <w:b/>
          <w:bCs/>
          <w:sz w:val="26"/>
          <w:szCs w:val="26"/>
          <w:lang w:val="es-ES"/>
        </w:rPr>
        <w:t>DEPARTAMENTO DE COMUNICACIONES</w:t>
      </w:r>
    </w:p>
    <w:p w14:paraId="0146966B" w14:textId="46A971E1" w:rsidR="00492779" w:rsidRPr="007A5D4E" w:rsidRDefault="00492779" w:rsidP="005972FE">
      <w:pPr>
        <w:spacing w:after="0" w:line="240" w:lineRule="atLeast"/>
        <w:jc w:val="center"/>
        <w:rPr>
          <w:rFonts w:ascii="Cambria" w:hAnsi="Cambria"/>
          <w:b/>
          <w:bCs/>
          <w:sz w:val="23"/>
          <w:szCs w:val="23"/>
          <w:lang w:val="es-ES"/>
        </w:rPr>
      </w:pPr>
    </w:p>
    <w:sectPr w:rsidR="00492779" w:rsidRPr="007A5D4E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56D5C" w14:textId="77777777" w:rsidR="00B50565" w:rsidRDefault="00B50565" w:rsidP="007867B1">
      <w:pPr>
        <w:spacing w:after="0" w:line="240" w:lineRule="auto"/>
      </w:pPr>
      <w:r>
        <w:separator/>
      </w:r>
    </w:p>
  </w:endnote>
  <w:endnote w:type="continuationSeparator" w:id="0">
    <w:p w14:paraId="765CFBFB" w14:textId="77777777" w:rsidR="00B50565" w:rsidRDefault="00B50565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r>
      <w:rPr>
        <w:rFonts w:ascii="Arial" w:hAnsi="Arial" w:cs="Arial"/>
        <w:sz w:val="18"/>
        <w:szCs w:val="18"/>
      </w:rPr>
      <w:tab/>
      <w:t xml:space="preserve">  Cayetano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Dgo.,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Dgo.,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2246F" w14:textId="77777777" w:rsidR="00B50565" w:rsidRDefault="00B50565" w:rsidP="007867B1">
      <w:pPr>
        <w:spacing w:after="0" w:line="240" w:lineRule="auto"/>
      </w:pPr>
      <w:r>
        <w:separator/>
      </w:r>
    </w:p>
  </w:footnote>
  <w:footnote w:type="continuationSeparator" w:id="0">
    <w:p w14:paraId="03B57527" w14:textId="77777777" w:rsidR="00B50565" w:rsidRDefault="00B50565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0519A"/>
    <w:rsid w:val="0001793B"/>
    <w:rsid w:val="00025566"/>
    <w:rsid w:val="00067062"/>
    <w:rsid w:val="000E55EA"/>
    <w:rsid w:val="000F7BAB"/>
    <w:rsid w:val="00186182"/>
    <w:rsid w:val="0029028A"/>
    <w:rsid w:val="002F70E5"/>
    <w:rsid w:val="00344CF6"/>
    <w:rsid w:val="00353100"/>
    <w:rsid w:val="00363BB4"/>
    <w:rsid w:val="003C72B3"/>
    <w:rsid w:val="003D19D6"/>
    <w:rsid w:val="003E588D"/>
    <w:rsid w:val="003F6C76"/>
    <w:rsid w:val="004014BB"/>
    <w:rsid w:val="00421ABF"/>
    <w:rsid w:val="00441E4A"/>
    <w:rsid w:val="00451D15"/>
    <w:rsid w:val="00492779"/>
    <w:rsid w:val="004B3774"/>
    <w:rsid w:val="004D5639"/>
    <w:rsid w:val="005142B8"/>
    <w:rsid w:val="005554CB"/>
    <w:rsid w:val="005972FE"/>
    <w:rsid w:val="005A154A"/>
    <w:rsid w:val="005F4E1A"/>
    <w:rsid w:val="00610706"/>
    <w:rsid w:val="00647439"/>
    <w:rsid w:val="006D38A5"/>
    <w:rsid w:val="007867B1"/>
    <w:rsid w:val="007A2D15"/>
    <w:rsid w:val="007A5D4E"/>
    <w:rsid w:val="007E4ACC"/>
    <w:rsid w:val="007F6BA3"/>
    <w:rsid w:val="008525E7"/>
    <w:rsid w:val="0087762C"/>
    <w:rsid w:val="00882A0A"/>
    <w:rsid w:val="008A7BED"/>
    <w:rsid w:val="008D2279"/>
    <w:rsid w:val="008D42E9"/>
    <w:rsid w:val="00937184"/>
    <w:rsid w:val="009735C5"/>
    <w:rsid w:val="00983383"/>
    <w:rsid w:val="009D7DF7"/>
    <w:rsid w:val="009F6E2F"/>
    <w:rsid w:val="00A1064F"/>
    <w:rsid w:val="00A10711"/>
    <w:rsid w:val="00AA4452"/>
    <w:rsid w:val="00B21960"/>
    <w:rsid w:val="00B50565"/>
    <w:rsid w:val="00B97452"/>
    <w:rsid w:val="00BE7B7B"/>
    <w:rsid w:val="00BF5E7B"/>
    <w:rsid w:val="00C003E1"/>
    <w:rsid w:val="00C54404"/>
    <w:rsid w:val="00C63222"/>
    <w:rsid w:val="00C8390C"/>
    <w:rsid w:val="00CA13C5"/>
    <w:rsid w:val="00CF21D2"/>
    <w:rsid w:val="00D93A45"/>
    <w:rsid w:val="00DD44F4"/>
    <w:rsid w:val="00E25BF0"/>
    <w:rsid w:val="00E4388D"/>
    <w:rsid w:val="00E509CD"/>
    <w:rsid w:val="00E618F5"/>
    <w:rsid w:val="00E84C64"/>
    <w:rsid w:val="00EA62D4"/>
    <w:rsid w:val="00F6030C"/>
    <w:rsid w:val="00F74C5B"/>
    <w:rsid w:val="00F93B16"/>
    <w:rsid w:val="00FA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3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79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94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01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38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6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01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60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2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2</cp:revision>
  <dcterms:created xsi:type="dcterms:W3CDTF">2025-07-13T21:47:00Z</dcterms:created>
  <dcterms:modified xsi:type="dcterms:W3CDTF">2025-07-13T21:47:00Z</dcterms:modified>
</cp:coreProperties>
</file>